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FA9DD" w14:textId="77777777" w:rsidR="00B5684F" w:rsidRPr="004B3013" w:rsidRDefault="00B5684F" w:rsidP="00ED31E8">
      <w:pPr>
        <w:ind w:firstLine="709"/>
        <w:jc w:val="right"/>
        <w:rPr>
          <w:rFonts w:eastAsiaTheme="minorEastAsia"/>
          <w:color w:val="000000" w:themeColor="text1"/>
          <w:sz w:val="2"/>
          <w:szCs w:val="2"/>
          <w:lang w:val="ru-RU"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D31E8" w:rsidRPr="00AE0F1E" w14:paraId="2BAFA9E9" w14:textId="77777777" w:rsidTr="00BE32D5">
        <w:trPr>
          <w:trHeight w:val="1528"/>
        </w:trPr>
        <w:tc>
          <w:tcPr>
            <w:tcW w:w="9356" w:type="dxa"/>
          </w:tcPr>
          <w:p w14:paraId="64292DEF" w14:textId="77777777" w:rsidR="008D6CD0" w:rsidRPr="00AE0F1E" w:rsidRDefault="008D6CD0" w:rsidP="008D6CD0">
            <w:pPr>
              <w:jc w:val="center"/>
              <w:rPr>
                <w:b/>
                <w:color w:val="000000"/>
              </w:rPr>
            </w:pPr>
            <w:r w:rsidRPr="00AE0F1E">
              <w:rPr>
                <w:b/>
                <w:color w:val="000000"/>
              </w:rPr>
              <w:t>Аналіз регуляторного впливу</w:t>
            </w:r>
          </w:p>
          <w:p w14:paraId="1AD41952" w14:textId="77777777" w:rsidR="008D6CD0" w:rsidRPr="00AE0F1E" w:rsidRDefault="008D6CD0" w:rsidP="008D6CD0">
            <w:pPr>
              <w:jc w:val="center"/>
              <w:rPr>
                <w:b/>
                <w:color w:val="000000"/>
              </w:rPr>
            </w:pPr>
            <w:r w:rsidRPr="00AE0F1E">
              <w:rPr>
                <w:b/>
                <w:color w:val="000000"/>
              </w:rPr>
              <w:t xml:space="preserve">проєкту постанови Правління Національного банку України </w:t>
            </w:r>
          </w:p>
          <w:p w14:paraId="2BAFA9E8" w14:textId="604822DC" w:rsidR="00346C90" w:rsidRPr="00F10781" w:rsidRDefault="008D6CD0" w:rsidP="008D6CD0">
            <w:pPr>
              <w:ind w:right="41"/>
              <w:jc w:val="center"/>
              <w:rPr>
                <w:b/>
                <w:bCs/>
                <w:lang w:eastAsia="zh-CN"/>
              </w:rPr>
            </w:pPr>
            <w:r w:rsidRPr="00F10781">
              <w:rPr>
                <w:b/>
                <w:bCs/>
                <w:color w:val="000000"/>
              </w:rPr>
              <w:t>“</w:t>
            </w:r>
            <w:r w:rsidR="00446DE7" w:rsidRPr="00446DE7">
              <w:rPr>
                <w:b/>
                <w:bCs/>
                <w:color w:val="000000"/>
              </w:rPr>
              <w:t>Про деякі питання здійснення обов</w:t>
            </w:r>
            <w:r w:rsidR="000618C2">
              <w:rPr>
                <w:b/>
                <w:bCs/>
                <w:color w:val="000000"/>
              </w:rPr>
              <w:t>ʼ</w:t>
            </w:r>
            <w:r w:rsidR="00446DE7" w:rsidRPr="00446DE7">
              <w:rPr>
                <w:b/>
                <w:bCs/>
                <w:color w:val="000000"/>
              </w:rPr>
              <w:t>язкового страхування цивільно-правової відповідальності власників наземних транспортних засобів</w:t>
            </w:r>
            <w:r w:rsidRPr="00F10781">
              <w:rPr>
                <w:b/>
                <w:bCs/>
                <w:color w:val="000000"/>
              </w:rPr>
              <w:t>”</w:t>
            </w:r>
          </w:p>
        </w:tc>
      </w:tr>
    </w:tbl>
    <w:p w14:paraId="28934D39" w14:textId="77777777" w:rsidR="00BE32D5" w:rsidRPr="00AE0F1E" w:rsidRDefault="00BE32D5" w:rsidP="00655F4A">
      <w:pPr>
        <w:widowControl w:val="0"/>
        <w:ind w:firstLine="686"/>
        <w:rPr>
          <w:b/>
          <w:lang w:eastAsia="zh-CN"/>
        </w:rPr>
      </w:pPr>
    </w:p>
    <w:p w14:paraId="2830018A" w14:textId="6B1484CE" w:rsidR="00346C90" w:rsidRDefault="00346C90" w:rsidP="0049607C">
      <w:pPr>
        <w:widowControl w:val="0"/>
        <w:ind w:firstLine="709"/>
        <w:rPr>
          <w:b/>
          <w:lang w:eastAsia="zh-CN"/>
        </w:rPr>
      </w:pPr>
      <w:r w:rsidRPr="00AE0F1E">
        <w:rPr>
          <w:b/>
          <w:lang w:eastAsia="zh-CN"/>
        </w:rPr>
        <w:t>І. Визначення та аналіз проблеми, яку пропонується розв’язати шляхом державного регулювання</w:t>
      </w:r>
    </w:p>
    <w:p w14:paraId="54B7D682" w14:textId="2B4C2F95" w:rsidR="00346C90" w:rsidRPr="00AE0F1E" w:rsidRDefault="00346C90" w:rsidP="0049607C">
      <w:pPr>
        <w:widowControl w:val="0"/>
        <w:ind w:firstLine="709"/>
        <w:rPr>
          <w:rFonts w:eastAsia="Calibri"/>
          <w:lang w:eastAsia="en-US"/>
        </w:rPr>
      </w:pPr>
      <w:r w:rsidRPr="00AE0F1E">
        <w:rPr>
          <w:rFonts w:eastAsia="Calibri"/>
          <w:lang w:eastAsia="en-US"/>
        </w:rPr>
        <w:t>Національний банк України</w:t>
      </w:r>
      <w:r w:rsidR="000618C2">
        <w:rPr>
          <w:rFonts w:eastAsia="Calibri"/>
          <w:lang w:eastAsia="en-US"/>
        </w:rPr>
        <w:t xml:space="preserve"> </w:t>
      </w:r>
      <w:r w:rsidR="000618C2" w:rsidRPr="000618C2">
        <w:rPr>
          <w:rFonts w:eastAsia="Calibri"/>
          <w:lang w:eastAsia="en-US"/>
        </w:rPr>
        <w:t>(далі – Національний банк)</w:t>
      </w:r>
      <w:r w:rsidRPr="00AE0F1E">
        <w:rPr>
          <w:rFonts w:eastAsia="Calibri"/>
          <w:lang w:eastAsia="en-US"/>
        </w:rPr>
        <w:t xml:space="preserve"> відповідно до пункту 8</w:t>
      </w:r>
      <w:r w:rsidRPr="00AE0F1E">
        <w:rPr>
          <w:rFonts w:eastAsia="Calibri"/>
          <w:vertAlign w:val="superscript"/>
          <w:lang w:eastAsia="en-US"/>
        </w:rPr>
        <w:t>1</w:t>
      </w:r>
      <w:r w:rsidRPr="00AE0F1E">
        <w:rPr>
          <w:rFonts w:eastAsia="Calibri"/>
          <w:lang w:eastAsia="en-US"/>
        </w:rPr>
        <w:t xml:space="preserve"> статті 7 розділу І Закону України “Про Національний банк України”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у межах, визначених</w:t>
      </w:r>
      <w:r w:rsidR="00A16E83" w:rsidRPr="00AE0F1E">
        <w:rPr>
          <w:rFonts w:eastAsia="Calibri"/>
          <w:lang w:eastAsia="en-US"/>
        </w:rPr>
        <w:t xml:space="preserve"> </w:t>
      </w:r>
      <w:r w:rsidRPr="00AE0F1E">
        <w:rPr>
          <w:rFonts w:eastAsia="Calibri"/>
          <w:lang w:eastAsia="en-US"/>
        </w:rPr>
        <w:t>Законом України “Про фінансові послуги та державне регулювання ринків фінансових послуг” та іншими законами України.</w:t>
      </w:r>
    </w:p>
    <w:p w14:paraId="4A927BA9" w14:textId="30A5BD24" w:rsidR="00F10781" w:rsidRDefault="000618C2" w:rsidP="0049607C">
      <w:pPr>
        <w:widowControl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>У пункті</w:t>
      </w:r>
      <w:r w:rsidR="00F10781" w:rsidRPr="00F10781">
        <w:rPr>
          <w:color w:val="000000"/>
          <w:lang w:eastAsia="ru-RU"/>
        </w:rPr>
        <w:t xml:space="preserve"> 1.10 статті 1 Закону України </w:t>
      </w:r>
      <w:r>
        <w:rPr>
          <w:color w:val="000000"/>
          <w:lang w:eastAsia="ru-RU"/>
        </w:rPr>
        <w:t>“</w:t>
      </w:r>
      <w:r w:rsidR="00F10781" w:rsidRPr="00F10781">
        <w:rPr>
          <w:color w:val="000000"/>
          <w:lang w:eastAsia="ru-RU"/>
        </w:rPr>
        <w:t>Про обов</w:t>
      </w:r>
      <w:r w:rsidR="00CB4FFB">
        <w:rPr>
          <w:color w:val="000000"/>
          <w:lang w:eastAsia="ru-RU"/>
        </w:rPr>
        <w:t>’</w:t>
      </w:r>
      <w:r w:rsidR="00F10781" w:rsidRPr="00F10781">
        <w:rPr>
          <w:color w:val="000000"/>
          <w:lang w:eastAsia="ru-RU"/>
        </w:rPr>
        <w:t>язкове страхування цивільно-правової відповідальності власників наземних транспортних засобів</w:t>
      </w:r>
      <w:r>
        <w:rPr>
          <w:color w:val="000000"/>
          <w:lang w:eastAsia="ru-RU"/>
        </w:rPr>
        <w:t>”</w:t>
      </w:r>
      <w:r w:rsidR="00F10781" w:rsidRPr="00F10781">
        <w:rPr>
          <w:color w:val="000000"/>
          <w:lang w:eastAsia="ru-RU"/>
        </w:rPr>
        <w:t xml:space="preserve"> (далі – Закон</w:t>
      </w:r>
      <w:r w:rsidR="00C31107">
        <w:rPr>
          <w:color w:val="000000"/>
          <w:lang w:eastAsia="ru-RU"/>
        </w:rPr>
        <w:t xml:space="preserve"> про ОСЦПВ</w:t>
      </w:r>
      <w:r w:rsidR="00F10781" w:rsidRPr="00F10781">
        <w:rPr>
          <w:color w:val="000000"/>
          <w:lang w:eastAsia="ru-RU"/>
        </w:rPr>
        <w:t>) визначено, що Уповноваженим органом є Національний банк</w:t>
      </w:r>
      <w:r>
        <w:rPr>
          <w:color w:val="000000"/>
          <w:lang w:eastAsia="ru-RU"/>
        </w:rPr>
        <w:t>.</w:t>
      </w:r>
      <w:r w:rsidR="00CB4FFB">
        <w:rPr>
          <w:color w:val="000000"/>
          <w:lang w:eastAsia="ru-RU"/>
        </w:rPr>
        <w:t xml:space="preserve"> </w:t>
      </w:r>
    </w:p>
    <w:p w14:paraId="13D8E081" w14:textId="5512E888" w:rsidR="00446DE7" w:rsidRPr="00446DE7" w:rsidRDefault="00446DE7" w:rsidP="0049607C">
      <w:pPr>
        <w:widowControl w:val="0"/>
        <w:ind w:firstLine="709"/>
        <w:rPr>
          <w:color w:val="000000"/>
          <w:lang w:eastAsia="ru-RU"/>
        </w:rPr>
      </w:pPr>
      <w:r w:rsidRPr="00446DE7">
        <w:rPr>
          <w:color w:val="000000"/>
          <w:lang w:eastAsia="ru-RU"/>
        </w:rPr>
        <w:t>Відповідно до Закону</w:t>
      </w:r>
      <w:r w:rsidR="00C31107">
        <w:rPr>
          <w:color w:val="000000"/>
          <w:lang w:eastAsia="ru-RU"/>
        </w:rPr>
        <w:t xml:space="preserve"> про ОСЦПВ</w:t>
      </w:r>
      <w:r w:rsidRPr="00446DE7">
        <w:rPr>
          <w:color w:val="000000"/>
          <w:lang w:eastAsia="ru-RU"/>
        </w:rPr>
        <w:t xml:space="preserve"> Уповноважений</w:t>
      </w:r>
      <w:r w:rsidR="00CB4FFB">
        <w:rPr>
          <w:color w:val="000000"/>
          <w:lang w:eastAsia="ru-RU"/>
        </w:rPr>
        <w:t xml:space="preserve"> орган </w:t>
      </w:r>
      <w:r w:rsidRPr="00446DE7">
        <w:rPr>
          <w:color w:val="000000"/>
          <w:lang w:eastAsia="ru-RU"/>
        </w:rPr>
        <w:t>затверджує за поданням Моторно</w:t>
      </w:r>
      <w:r w:rsidR="00CB4FFB">
        <w:rPr>
          <w:color w:val="000000"/>
          <w:lang w:eastAsia="ru-RU"/>
        </w:rPr>
        <w:t>го</w:t>
      </w:r>
      <w:r w:rsidRPr="00446DE7">
        <w:rPr>
          <w:color w:val="000000"/>
          <w:lang w:eastAsia="ru-RU"/>
        </w:rPr>
        <w:t xml:space="preserve"> (транспортного) </w:t>
      </w:r>
      <w:r w:rsidR="00C31107">
        <w:rPr>
          <w:color w:val="000000"/>
          <w:lang w:eastAsia="ru-RU"/>
        </w:rPr>
        <w:t xml:space="preserve">страхового </w:t>
      </w:r>
      <w:r w:rsidRPr="00446DE7">
        <w:rPr>
          <w:color w:val="000000"/>
          <w:lang w:eastAsia="ru-RU"/>
        </w:rPr>
        <w:t>бюро України (далі – МТСБУ):</w:t>
      </w:r>
    </w:p>
    <w:p w14:paraId="44B542BB" w14:textId="23F20322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розмір базового страхового платежу (пункт 7.2. статті 7);</w:t>
      </w:r>
    </w:p>
    <w:p w14:paraId="78CDE622" w14:textId="1650B20A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перелік, значення коригуючих коефіцієнтів та порядок їх застосування (пункт 7.2. статті 7);</w:t>
      </w:r>
    </w:p>
    <w:p w14:paraId="0E029D44" w14:textId="0AA37BC4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Положення про єдину централізовану базу даних щодо обов</w:t>
      </w:r>
      <w:r w:rsidR="000618C2">
        <w:rPr>
          <w:color w:val="000000"/>
          <w:lang w:eastAsia="ru-RU"/>
        </w:rPr>
        <w:t>ʼ</w:t>
      </w:r>
      <w:r w:rsidRPr="003D7CEB">
        <w:rPr>
          <w:color w:val="000000"/>
          <w:lang w:eastAsia="ru-RU"/>
        </w:rPr>
        <w:t>язкового страхування цивільно-правової відповідальності власників наземних транспортних засобів (стаття 11, пункт 55.4 статті 55);</w:t>
      </w:r>
    </w:p>
    <w:p w14:paraId="19631C4D" w14:textId="1382175B" w:rsidR="00446DE7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максимальні розміри страхової виплати за шкоду, заподіяну майну потерпілих, у разі оформлення документів про дорожньо-транспортну пригоду без участі уповноважених на те працівників Національної поліції України (абзац третій пункту 33.2 статті 33, абзац другий пункту 36.1 статті 36).</w:t>
      </w:r>
      <w:r w:rsidR="00446DE7" w:rsidRPr="00446DE7">
        <w:rPr>
          <w:color w:val="000000"/>
          <w:lang w:eastAsia="ru-RU"/>
        </w:rPr>
        <w:t xml:space="preserve"> </w:t>
      </w:r>
    </w:p>
    <w:p w14:paraId="5394BE0D" w14:textId="41DE266B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Згідно з пунктом 7.2. статті 7 Закону</w:t>
      </w:r>
      <w:r w:rsidR="00C31107">
        <w:rPr>
          <w:color w:val="000000"/>
          <w:lang w:eastAsia="ru-RU"/>
        </w:rPr>
        <w:t xml:space="preserve"> про ОСЦПВ</w:t>
      </w:r>
      <w:r w:rsidRPr="003D7CEB">
        <w:rPr>
          <w:color w:val="000000"/>
          <w:lang w:eastAsia="ru-RU"/>
        </w:rPr>
        <w:t xml:space="preserve"> пропозиції МТСБУ щодо розміру базового страхового платежу та значень коригуючих коефіцієнтів підтверджуються актуарними розрахунками з урахуванням рівня збитковості даного виду страхування в цілому по галузі за останній розрахунковий період, який становить не менше року, та статистичних даних</w:t>
      </w:r>
      <w:r w:rsidR="000618C2">
        <w:rPr>
          <w:color w:val="000000"/>
          <w:lang w:eastAsia="ru-RU"/>
        </w:rPr>
        <w:t>.</w:t>
      </w:r>
    </w:p>
    <w:p w14:paraId="0C4BD2B7" w14:textId="78BCDCF3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 xml:space="preserve">До </w:t>
      </w:r>
      <w:r w:rsidR="00F776EC">
        <w:rPr>
          <w:color w:val="000000"/>
          <w:lang w:eastAsia="ru-RU"/>
        </w:rPr>
        <w:t xml:space="preserve"> </w:t>
      </w:r>
      <w:r w:rsidRPr="003D7CEB">
        <w:rPr>
          <w:color w:val="000000"/>
          <w:lang w:eastAsia="ru-RU"/>
        </w:rPr>
        <w:t>Національного</w:t>
      </w:r>
      <w:r w:rsidR="00F776EC">
        <w:rPr>
          <w:color w:val="000000"/>
          <w:lang w:eastAsia="ru-RU"/>
        </w:rPr>
        <w:t xml:space="preserve"> </w:t>
      </w:r>
      <w:r w:rsidRPr="003D7CEB">
        <w:rPr>
          <w:color w:val="000000"/>
          <w:lang w:eastAsia="ru-RU"/>
        </w:rPr>
        <w:t xml:space="preserve"> банку</w:t>
      </w:r>
      <w:r w:rsidR="00F776EC">
        <w:rPr>
          <w:color w:val="000000"/>
          <w:lang w:eastAsia="ru-RU"/>
        </w:rPr>
        <w:t xml:space="preserve"> </w:t>
      </w:r>
      <w:r w:rsidRPr="003D7CEB">
        <w:rPr>
          <w:color w:val="000000"/>
          <w:lang w:eastAsia="ru-RU"/>
        </w:rPr>
        <w:t xml:space="preserve"> надійшло</w:t>
      </w:r>
      <w:r w:rsidR="00F776EC">
        <w:rPr>
          <w:color w:val="000000"/>
          <w:lang w:eastAsia="ru-RU"/>
        </w:rPr>
        <w:t xml:space="preserve"> </w:t>
      </w:r>
      <w:r w:rsidRPr="003D7CEB">
        <w:rPr>
          <w:color w:val="000000"/>
          <w:lang w:eastAsia="ru-RU"/>
        </w:rPr>
        <w:t xml:space="preserve"> пода</w:t>
      </w:r>
      <w:r w:rsidR="00CB4FFB">
        <w:rPr>
          <w:color w:val="000000"/>
          <w:lang w:eastAsia="ru-RU"/>
        </w:rPr>
        <w:t>ння</w:t>
      </w:r>
      <w:r w:rsidR="00F776EC">
        <w:rPr>
          <w:color w:val="000000"/>
          <w:lang w:eastAsia="ru-RU"/>
        </w:rPr>
        <w:t xml:space="preserve">  </w:t>
      </w:r>
      <w:r w:rsidR="001025F9">
        <w:rPr>
          <w:color w:val="000000"/>
          <w:lang w:eastAsia="ru-RU"/>
        </w:rPr>
        <w:t xml:space="preserve"> </w:t>
      </w:r>
      <w:r w:rsidR="00CB4FFB">
        <w:rPr>
          <w:color w:val="000000"/>
          <w:lang w:eastAsia="ru-RU"/>
        </w:rPr>
        <w:t>МТСБУ</w:t>
      </w:r>
      <w:r w:rsidR="00F776EC">
        <w:rPr>
          <w:color w:val="000000"/>
          <w:lang w:eastAsia="ru-RU"/>
        </w:rPr>
        <w:t xml:space="preserve"> </w:t>
      </w:r>
      <w:r w:rsidR="00CB4FFB">
        <w:rPr>
          <w:color w:val="000000"/>
          <w:lang w:eastAsia="ru-RU"/>
        </w:rPr>
        <w:t xml:space="preserve"> від 16.08.2021 № 9-01/29372 (</w:t>
      </w:r>
      <w:r w:rsidRPr="003D7CEB">
        <w:rPr>
          <w:color w:val="000000"/>
          <w:lang w:eastAsia="ru-RU"/>
        </w:rPr>
        <w:t>далі – Подання).</w:t>
      </w:r>
    </w:p>
    <w:p w14:paraId="53DF6FBA" w14:textId="77777777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Відповідно до Подання пропонується затвердити:</w:t>
      </w:r>
    </w:p>
    <w:p w14:paraId="3DCE03B8" w14:textId="53839E46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розмір базового страхового платежу за договорами обов</w:t>
      </w:r>
      <w:r w:rsidR="00CB4FFB">
        <w:rPr>
          <w:color w:val="000000"/>
          <w:lang w:eastAsia="ru-RU"/>
        </w:rPr>
        <w:t>’</w:t>
      </w:r>
      <w:r w:rsidRPr="003D7CEB">
        <w:rPr>
          <w:color w:val="000000"/>
          <w:lang w:eastAsia="ru-RU"/>
        </w:rPr>
        <w:t xml:space="preserve">язкового </w:t>
      </w:r>
      <w:r w:rsidRPr="003D7CEB">
        <w:rPr>
          <w:color w:val="000000"/>
          <w:lang w:eastAsia="ru-RU"/>
        </w:rPr>
        <w:lastRenderedPageBreak/>
        <w:t>страхування цивільно-правової відповідальності власників наземних транспортних засобів на рівні 180 грн;</w:t>
      </w:r>
    </w:p>
    <w:p w14:paraId="237178D2" w14:textId="5F1702C5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перелік, значення коригуючих коефіціє</w:t>
      </w:r>
      <w:r w:rsidR="00CB4FFB">
        <w:rPr>
          <w:color w:val="000000"/>
          <w:lang w:eastAsia="ru-RU"/>
        </w:rPr>
        <w:t>нтів та порядок їх застосування;</w:t>
      </w:r>
    </w:p>
    <w:p w14:paraId="5334D4FF" w14:textId="5CD5B8C8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>Положення про єдину централізовану базу даних щодо обов</w:t>
      </w:r>
      <w:r w:rsidR="00CB4FFB">
        <w:rPr>
          <w:color w:val="000000"/>
          <w:lang w:eastAsia="ru-RU"/>
        </w:rPr>
        <w:t>’</w:t>
      </w:r>
      <w:r w:rsidRPr="003D7CEB">
        <w:rPr>
          <w:color w:val="000000"/>
          <w:lang w:eastAsia="ru-RU"/>
        </w:rPr>
        <w:t>язкового страхування цивільно-правової відповідальності власників наземних транспортних засобів;</w:t>
      </w:r>
    </w:p>
    <w:p w14:paraId="2CDC2A22" w14:textId="395116AB" w:rsidR="003D7CEB" w:rsidRPr="003D7CEB" w:rsidRDefault="003D7CEB" w:rsidP="0049607C">
      <w:pPr>
        <w:widowControl w:val="0"/>
        <w:ind w:firstLine="709"/>
        <w:rPr>
          <w:color w:val="000000"/>
          <w:lang w:eastAsia="ru-RU"/>
        </w:rPr>
      </w:pPr>
      <w:bookmarkStart w:id="0" w:name="_Hlk80869206"/>
      <w:r w:rsidRPr="003D7CEB">
        <w:rPr>
          <w:color w:val="000000"/>
          <w:lang w:eastAsia="ru-RU"/>
        </w:rPr>
        <w:t xml:space="preserve">максимальні розміри страхової виплати за шкоду, заподіяну майну потерпілих у разі оформлення документів про дорожньо-транспортну пригоду без участі уповноважених на те працівників Національної поліції України </w:t>
      </w:r>
      <w:r w:rsidR="000618C2">
        <w:rPr>
          <w:color w:val="000000"/>
          <w:lang w:eastAsia="ru-RU"/>
        </w:rPr>
        <w:t>в</w:t>
      </w:r>
      <w:r w:rsidRPr="003D7CEB">
        <w:rPr>
          <w:color w:val="000000"/>
          <w:lang w:eastAsia="ru-RU"/>
        </w:rPr>
        <w:t xml:space="preserve"> сумі 80 000 грн.</w:t>
      </w:r>
      <w:bookmarkEnd w:id="0"/>
    </w:p>
    <w:p w14:paraId="6B253D88" w14:textId="0C510D87" w:rsidR="00446DE7" w:rsidRDefault="003D7CEB" w:rsidP="0049607C">
      <w:pPr>
        <w:widowControl w:val="0"/>
        <w:ind w:firstLine="709"/>
        <w:rPr>
          <w:color w:val="000000"/>
          <w:lang w:eastAsia="ru-RU"/>
        </w:rPr>
      </w:pPr>
      <w:r w:rsidRPr="003D7CEB">
        <w:rPr>
          <w:color w:val="000000"/>
          <w:lang w:eastAsia="ru-RU"/>
        </w:rPr>
        <w:t xml:space="preserve">У Поданні наведено </w:t>
      </w:r>
      <w:r w:rsidR="00C31107" w:rsidRPr="003D7CEB">
        <w:rPr>
          <w:color w:val="000000"/>
          <w:lang w:eastAsia="ru-RU"/>
        </w:rPr>
        <w:t>обґрунтування</w:t>
      </w:r>
      <w:r w:rsidRPr="003D7CEB">
        <w:rPr>
          <w:color w:val="000000"/>
          <w:lang w:eastAsia="ru-RU"/>
        </w:rPr>
        <w:t xml:space="preserve"> необхідності запропонованих змін, зокрема, зазначено, що запропоноване значення коригуючого </w:t>
      </w:r>
      <w:r w:rsidR="00C31107" w:rsidRPr="003D7CEB">
        <w:rPr>
          <w:color w:val="000000"/>
          <w:lang w:eastAsia="ru-RU"/>
        </w:rPr>
        <w:t>ко</w:t>
      </w:r>
      <w:r w:rsidR="00C31107">
        <w:rPr>
          <w:color w:val="000000"/>
          <w:lang w:eastAsia="ru-RU"/>
        </w:rPr>
        <w:t>е</w:t>
      </w:r>
      <w:r w:rsidR="00C31107" w:rsidRPr="003D7CEB">
        <w:rPr>
          <w:color w:val="000000"/>
          <w:lang w:eastAsia="ru-RU"/>
        </w:rPr>
        <w:t xml:space="preserve">фіцієнту </w:t>
      </w:r>
      <w:r w:rsidRPr="003D7CEB">
        <w:rPr>
          <w:color w:val="000000"/>
          <w:lang w:eastAsia="ru-RU"/>
        </w:rPr>
        <w:t xml:space="preserve">К6, а саме розширення діапазону цього </w:t>
      </w:r>
      <w:r w:rsidR="00C31107" w:rsidRPr="003D7CEB">
        <w:rPr>
          <w:color w:val="000000"/>
          <w:lang w:eastAsia="ru-RU"/>
        </w:rPr>
        <w:t>ко</w:t>
      </w:r>
      <w:r w:rsidR="00C31107">
        <w:rPr>
          <w:color w:val="000000"/>
          <w:lang w:eastAsia="ru-RU"/>
        </w:rPr>
        <w:t>е</w:t>
      </w:r>
      <w:r w:rsidR="00C31107" w:rsidRPr="003D7CEB">
        <w:rPr>
          <w:color w:val="000000"/>
          <w:lang w:eastAsia="ru-RU"/>
        </w:rPr>
        <w:t xml:space="preserve">фіцієнту </w:t>
      </w:r>
      <w:r w:rsidRPr="003D7CEB">
        <w:rPr>
          <w:color w:val="000000"/>
          <w:lang w:eastAsia="ru-RU"/>
        </w:rPr>
        <w:t>від 1 до 5 на заміну існуючому діапазону від 1 до 3 залежно від показників збитковості/прибутковості діяльності страховика з обов</w:t>
      </w:r>
      <w:r w:rsidR="007B4862">
        <w:rPr>
          <w:color w:val="000000"/>
          <w:lang w:eastAsia="ru-RU"/>
        </w:rPr>
        <w:t>’</w:t>
      </w:r>
      <w:r w:rsidRPr="003D7CEB">
        <w:rPr>
          <w:color w:val="000000"/>
          <w:lang w:eastAsia="ru-RU"/>
        </w:rPr>
        <w:t>язкового страхування цивільно-правової відповідальності власників наземних транспортних засобів, підтверджується актуарними розрахунками з урахуванням рівня збитковості даного виду страхування в цілому по галузі за останній розрахунковий період, який становить не менше року, та статистичних даних</w:t>
      </w:r>
      <w:r w:rsidR="00CB4FFB">
        <w:rPr>
          <w:color w:val="000000"/>
          <w:lang w:eastAsia="ru-RU"/>
        </w:rPr>
        <w:t>.</w:t>
      </w:r>
    </w:p>
    <w:p w14:paraId="39898648" w14:textId="0583A4BB" w:rsidR="007B4862" w:rsidRDefault="007B4862" w:rsidP="0049607C">
      <w:pPr>
        <w:widowControl w:val="0"/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Також у Поданні пропонується збільшити </w:t>
      </w:r>
      <w:r w:rsidRPr="003D7CEB">
        <w:rPr>
          <w:color w:val="000000"/>
          <w:lang w:eastAsia="ru-RU"/>
        </w:rPr>
        <w:t xml:space="preserve">максимальні розміри страхової виплати за шкоду, заподіяну майну потерпілих у разі оформлення документів про дорожньо-транспортну пригоду без участі уповноважених на те працівників Національної поліції України </w:t>
      </w:r>
      <w:r>
        <w:rPr>
          <w:color w:val="000000"/>
          <w:lang w:eastAsia="ru-RU"/>
        </w:rPr>
        <w:t>з 50 000 грн до</w:t>
      </w:r>
      <w:r w:rsidRPr="003D7CEB">
        <w:rPr>
          <w:color w:val="000000"/>
          <w:lang w:eastAsia="ru-RU"/>
        </w:rPr>
        <w:t xml:space="preserve"> 80 000 грн</w:t>
      </w:r>
      <w:r>
        <w:rPr>
          <w:color w:val="000000"/>
          <w:lang w:eastAsia="ru-RU"/>
        </w:rPr>
        <w:t xml:space="preserve"> з метою забезпечення популяризації зазначеного спрощеного способу врегулювання виплат.</w:t>
      </w:r>
    </w:p>
    <w:p w14:paraId="13A3CF99" w14:textId="3C22234C" w:rsidR="00C31107" w:rsidRPr="00AE0F1E" w:rsidRDefault="00C31107" w:rsidP="0049607C">
      <w:pPr>
        <w:widowControl w:val="0"/>
        <w:ind w:firstLine="709"/>
        <w:rPr>
          <w:rFonts w:eastAsia="Calibri"/>
          <w:lang w:eastAsia="en-US"/>
        </w:rPr>
      </w:pPr>
      <w:r w:rsidRPr="00AE0F1E">
        <w:rPr>
          <w:rFonts w:eastAsia="Calibri"/>
          <w:lang w:eastAsia="en-US"/>
        </w:rPr>
        <w:t xml:space="preserve">Отже, </w:t>
      </w:r>
      <w:r w:rsidR="00F776EC">
        <w:rPr>
          <w:rFonts w:eastAsia="Calibri"/>
          <w:lang w:eastAsia="en-US"/>
        </w:rPr>
        <w:t>є</w:t>
      </w:r>
      <w:r w:rsidRPr="00AE0F1E">
        <w:rPr>
          <w:rFonts w:eastAsia="Calibri"/>
          <w:lang w:eastAsia="en-US"/>
        </w:rPr>
        <w:t xml:space="preserve"> потреба </w:t>
      </w:r>
      <w:r>
        <w:rPr>
          <w:rFonts w:eastAsia="Calibri"/>
          <w:lang w:eastAsia="en-US"/>
        </w:rPr>
        <w:t>в</w:t>
      </w:r>
      <w:r w:rsidRPr="00AE0F1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</w:t>
      </w:r>
      <w:r w:rsidRPr="00AE0F1E">
        <w:rPr>
          <w:rFonts w:eastAsia="Calibri"/>
          <w:lang w:eastAsia="en-US"/>
        </w:rPr>
        <w:t>регулюванні вищезазначених проблем та затвердженні відповідного нормативно-правового акта Національного банку.</w:t>
      </w:r>
    </w:p>
    <w:p w14:paraId="25AB9704" w14:textId="1906E6ED" w:rsidR="00C31107" w:rsidRPr="00AE0F1E" w:rsidRDefault="00C31107" w:rsidP="0049607C">
      <w:pPr>
        <w:widowControl w:val="0"/>
        <w:shd w:val="clear" w:color="auto" w:fill="FFFFFF"/>
        <w:ind w:firstLine="709"/>
        <w:rPr>
          <w:lang w:eastAsia="zh-CN"/>
        </w:rPr>
      </w:pPr>
      <w:r w:rsidRPr="00AE0F1E">
        <w:rPr>
          <w:lang w:eastAsia="zh-CN"/>
        </w:rPr>
        <w:t xml:space="preserve">Суб’єктами, на яких поширюється дія регуляторного акта, є </w:t>
      </w:r>
      <w:r w:rsidRPr="00AE0F1E">
        <w:rPr>
          <w:color w:val="000000" w:themeColor="text1"/>
        </w:rPr>
        <w:t>страховики</w:t>
      </w:r>
      <w:r>
        <w:rPr>
          <w:color w:val="000000" w:themeColor="text1"/>
        </w:rPr>
        <w:t xml:space="preserve">, </w:t>
      </w:r>
      <w:r>
        <w:rPr>
          <w:lang w:eastAsia="ru-RU"/>
        </w:rPr>
        <w:t>які отримали ліцензію на обов</w:t>
      </w:r>
      <w:r w:rsidR="007B4862">
        <w:rPr>
          <w:color w:val="000000"/>
          <w:lang w:eastAsia="ru-RU"/>
        </w:rPr>
        <w:t>’</w:t>
      </w:r>
      <w:r>
        <w:rPr>
          <w:lang w:eastAsia="ru-RU"/>
        </w:rPr>
        <w:t>язкове страхування цивільно-правової відповідальності власників наземних транспортних засобів</w:t>
      </w:r>
      <w:r w:rsidRPr="00AE0F1E">
        <w:rPr>
          <w:lang w:eastAsia="zh-CN"/>
        </w:rPr>
        <w:t xml:space="preserve">. </w:t>
      </w:r>
      <w:r w:rsidRPr="003A5833">
        <w:rPr>
          <w:lang w:eastAsia="zh-CN"/>
        </w:rPr>
        <w:t xml:space="preserve">Проблема, яку пропонується розв’язати шляхом державного регулювання, </w:t>
      </w:r>
      <w:r w:rsidRPr="00626E5C">
        <w:rPr>
          <w:lang w:eastAsia="zh-CN"/>
        </w:rPr>
        <w:t xml:space="preserve">має </w:t>
      </w:r>
      <w:r w:rsidRPr="003A5833">
        <w:rPr>
          <w:lang w:eastAsia="zh-CN"/>
        </w:rPr>
        <w:t>негативн</w:t>
      </w:r>
      <w:r w:rsidRPr="00626E5C">
        <w:rPr>
          <w:lang w:eastAsia="zh-CN"/>
        </w:rPr>
        <w:t>ий</w:t>
      </w:r>
      <w:r w:rsidRPr="003A5833">
        <w:rPr>
          <w:lang w:eastAsia="zh-CN"/>
        </w:rPr>
        <w:t xml:space="preserve"> вплив на діяльність страховиків.</w:t>
      </w:r>
    </w:p>
    <w:p w14:paraId="42CD3258" w14:textId="34ABDBC1" w:rsidR="00C31107" w:rsidRPr="00AE0F1E" w:rsidRDefault="00C31107" w:rsidP="0049607C">
      <w:pPr>
        <w:widowControl w:val="0"/>
        <w:shd w:val="clear" w:color="auto" w:fill="FFFFFF"/>
        <w:ind w:firstLine="709"/>
        <w:rPr>
          <w:lang w:eastAsia="zh-CN"/>
        </w:rPr>
      </w:pPr>
      <w:r w:rsidRPr="00AE0F1E">
        <w:rPr>
          <w:rFonts w:eastAsia="Calibri"/>
          <w:lang w:eastAsia="en-US"/>
        </w:rPr>
        <w:t>Зазначене питання не може виріш</w:t>
      </w:r>
      <w:r w:rsidR="00F776EC">
        <w:rPr>
          <w:rFonts w:eastAsia="Calibri"/>
          <w:lang w:eastAsia="en-US"/>
        </w:rPr>
        <w:t>уватися</w:t>
      </w:r>
      <w:r w:rsidRPr="00AE0F1E">
        <w:rPr>
          <w:rFonts w:eastAsia="Calibri"/>
          <w:lang w:eastAsia="en-US"/>
        </w:rPr>
        <w:t xml:space="preserve"> за допомогою ринкових механізмів, оскільки воно стосується реалізації повноважень Національного банку, визначених Законом про </w:t>
      </w:r>
      <w:r w:rsidRPr="00F10781">
        <w:rPr>
          <w:color w:val="000000"/>
          <w:lang w:eastAsia="ru-RU"/>
        </w:rPr>
        <w:t>ОСЦПВ</w:t>
      </w:r>
      <w:r w:rsidRPr="00AE0F1E">
        <w:rPr>
          <w:rFonts w:eastAsia="Calibri"/>
          <w:lang w:eastAsia="en-US"/>
        </w:rPr>
        <w:t>.</w:t>
      </w:r>
    </w:p>
    <w:p w14:paraId="5FFD31B1" w14:textId="77777777" w:rsidR="00446DE7" w:rsidRPr="00446DE7" w:rsidRDefault="00446DE7" w:rsidP="0049607C">
      <w:pPr>
        <w:widowControl w:val="0"/>
        <w:ind w:firstLine="709"/>
        <w:rPr>
          <w:color w:val="000000"/>
          <w:lang w:eastAsia="ru-RU"/>
        </w:rPr>
      </w:pPr>
    </w:p>
    <w:p w14:paraId="73055F37" w14:textId="77777777" w:rsidR="00346C90" w:rsidRPr="00AE0F1E" w:rsidRDefault="00346C90" w:rsidP="0049607C">
      <w:pPr>
        <w:widowControl w:val="0"/>
        <w:ind w:firstLine="709"/>
        <w:rPr>
          <w:b/>
          <w:lang w:eastAsia="zh-CN"/>
        </w:rPr>
      </w:pPr>
      <w:r w:rsidRPr="00AE0F1E">
        <w:rPr>
          <w:b/>
          <w:lang w:eastAsia="zh-CN"/>
        </w:rPr>
        <w:t xml:space="preserve">ІІ. Визначення цілей державного регулювання </w:t>
      </w:r>
    </w:p>
    <w:p w14:paraId="588C04F5" w14:textId="260F88BE" w:rsidR="00C24D5C" w:rsidRDefault="00C31107" w:rsidP="0049607C">
      <w:pPr>
        <w:widowControl w:val="0"/>
        <w:ind w:firstLine="709"/>
        <w:rPr>
          <w:lang w:eastAsia="ru-RU"/>
        </w:rPr>
      </w:pPr>
      <w:r w:rsidRPr="00AE0F1E">
        <w:rPr>
          <w:lang w:eastAsia="ru-RU"/>
        </w:rPr>
        <w:t xml:space="preserve">Цілями державного регулювання, що безпосередньо пов’язані з розв’язанням </w:t>
      </w:r>
      <w:r>
        <w:rPr>
          <w:lang w:eastAsia="ru-RU"/>
        </w:rPr>
        <w:t>вище</w:t>
      </w:r>
      <w:r w:rsidRPr="00AE0F1E">
        <w:rPr>
          <w:lang w:eastAsia="ru-RU"/>
        </w:rPr>
        <w:t xml:space="preserve">зазначених проблем, є </w:t>
      </w:r>
      <w:r w:rsidRPr="00AE0F1E">
        <w:rPr>
          <w:rFonts w:eastAsia="Calibri"/>
          <w:lang w:eastAsia="en-US"/>
        </w:rPr>
        <w:t>реалізація повноважень Національного банку, визначених Законом про</w:t>
      </w:r>
      <w:r w:rsidR="003E0715">
        <w:rPr>
          <w:rFonts w:eastAsia="Calibri"/>
          <w:lang w:eastAsia="en-US"/>
        </w:rPr>
        <w:t xml:space="preserve"> </w:t>
      </w:r>
      <w:r w:rsidR="003E0715">
        <w:rPr>
          <w:color w:val="000000"/>
          <w:lang w:eastAsia="ru-RU"/>
        </w:rPr>
        <w:t>ОСЦПВ.</w:t>
      </w:r>
    </w:p>
    <w:p w14:paraId="3A65CDA3" w14:textId="0E642F9B" w:rsidR="00C24D5C" w:rsidRPr="00580A44" w:rsidRDefault="00C24D5C" w:rsidP="0049607C">
      <w:pPr>
        <w:widowControl w:val="0"/>
        <w:ind w:firstLine="709"/>
        <w:rPr>
          <w:lang w:eastAsia="ru-RU"/>
        </w:rPr>
      </w:pPr>
      <w:r w:rsidRPr="00580A44">
        <w:rPr>
          <w:lang w:eastAsia="ru-RU"/>
        </w:rPr>
        <w:lastRenderedPageBreak/>
        <w:t xml:space="preserve">Регуляторний акт розроблено з метою виконання </w:t>
      </w:r>
      <w:bookmarkStart w:id="1" w:name="_Hlk79668613"/>
      <w:r w:rsidRPr="00580A44">
        <w:rPr>
          <w:lang w:eastAsia="ru-RU"/>
        </w:rPr>
        <w:t>вимог Закону</w:t>
      </w:r>
      <w:bookmarkEnd w:id="1"/>
      <w:r w:rsidR="00C31107">
        <w:rPr>
          <w:lang w:eastAsia="ru-RU"/>
        </w:rPr>
        <w:t xml:space="preserve"> </w:t>
      </w:r>
      <w:r w:rsidR="00C31107">
        <w:rPr>
          <w:color w:val="000000"/>
          <w:lang w:eastAsia="ru-RU"/>
        </w:rPr>
        <w:t>про ОСЦПВ</w:t>
      </w:r>
      <w:r w:rsidR="00580A44" w:rsidRPr="00580A44">
        <w:rPr>
          <w:lang w:eastAsia="ru-RU"/>
        </w:rPr>
        <w:t xml:space="preserve"> </w:t>
      </w:r>
      <w:r w:rsidR="00C31107">
        <w:rPr>
          <w:lang w:eastAsia="ru-RU"/>
        </w:rPr>
        <w:t>щодо</w:t>
      </w:r>
      <w:r w:rsidR="00C31107" w:rsidRPr="00580A44">
        <w:rPr>
          <w:lang w:eastAsia="ru-RU"/>
        </w:rPr>
        <w:t xml:space="preserve"> </w:t>
      </w:r>
      <w:r w:rsidR="00580A44" w:rsidRPr="00580A44">
        <w:rPr>
          <w:lang w:eastAsia="ru-RU"/>
        </w:rPr>
        <w:t xml:space="preserve">затвердження </w:t>
      </w:r>
      <w:r w:rsidR="00C31107">
        <w:rPr>
          <w:lang w:eastAsia="ru-RU"/>
        </w:rPr>
        <w:t xml:space="preserve">Національним банком </w:t>
      </w:r>
      <w:r w:rsidR="00580A44" w:rsidRPr="00580A44">
        <w:rPr>
          <w:lang w:eastAsia="ru-RU"/>
        </w:rPr>
        <w:t xml:space="preserve">за поданням МТСБУ </w:t>
      </w:r>
      <w:r w:rsidR="003D7CEB" w:rsidRPr="003D7CEB">
        <w:rPr>
          <w:lang w:eastAsia="ru-RU"/>
        </w:rPr>
        <w:t>розмір</w:t>
      </w:r>
      <w:r w:rsidR="003D7CEB">
        <w:rPr>
          <w:lang w:val="ru-RU" w:eastAsia="ru-RU"/>
        </w:rPr>
        <w:t>у</w:t>
      </w:r>
      <w:r w:rsidR="003D7CEB" w:rsidRPr="003D7CEB">
        <w:rPr>
          <w:lang w:eastAsia="ru-RU"/>
        </w:rPr>
        <w:t xml:space="preserve"> базового страхового платежу за договорами </w:t>
      </w:r>
      <w:bookmarkStart w:id="2" w:name="_Hlk80869001"/>
      <w:r w:rsidR="003D7CEB" w:rsidRPr="003D7CEB">
        <w:rPr>
          <w:lang w:eastAsia="ru-RU"/>
        </w:rPr>
        <w:t>обов</w:t>
      </w:r>
      <w:r w:rsidR="00BD0561">
        <w:rPr>
          <w:lang w:eastAsia="ru-RU"/>
        </w:rPr>
        <w:t>’</w:t>
      </w:r>
      <w:r w:rsidR="003D7CEB" w:rsidRPr="003D7CEB">
        <w:rPr>
          <w:lang w:eastAsia="ru-RU"/>
        </w:rPr>
        <w:t>язкового страхування цивільно-правової відповідальності власників наземних транспортних засобів</w:t>
      </w:r>
      <w:bookmarkEnd w:id="2"/>
      <w:r w:rsidR="003D7CEB" w:rsidRPr="003D7CEB">
        <w:rPr>
          <w:lang w:eastAsia="ru-RU"/>
        </w:rPr>
        <w:t>; Переліку, значень коригуючих коефіцієнтів та порядок їх застосування; Положення про єдину централізовану базу даних щодо обов</w:t>
      </w:r>
      <w:r w:rsidR="0040550B">
        <w:rPr>
          <w:lang w:eastAsia="ru-RU"/>
        </w:rPr>
        <w:t>’</w:t>
      </w:r>
      <w:r w:rsidR="003D7CEB" w:rsidRPr="003D7CEB">
        <w:rPr>
          <w:lang w:eastAsia="ru-RU"/>
        </w:rPr>
        <w:t>язкового страхування цивільно-правової відповідальності власників наземних транспортних засобів</w:t>
      </w:r>
      <w:r w:rsidR="003D7CEB">
        <w:rPr>
          <w:lang w:val="ru-RU" w:eastAsia="ru-RU"/>
        </w:rPr>
        <w:t xml:space="preserve">; </w:t>
      </w:r>
      <w:r w:rsidR="00580A44" w:rsidRPr="00580A44">
        <w:rPr>
          <w:lang w:eastAsia="ru-RU"/>
        </w:rPr>
        <w:t>максимальних розмірів страхової виплати за шкоду, заподіяну майну потерпілих, у разі оформлення документів про дорожньо-транспортну пригоду без участі уповноважених на те працівників Національної поліції України</w:t>
      </w:r>
      <w:r w:rsidRPr="00580A44">
        <w:rPr>
          <w:lang w:eastAsia="ru-RU"/>
        </w:rPr>
        <w:t>.</w:t>
      </w:r>
    </w:p>
    <w:p w14:paraId="771F9719" w14:textId="77777777" w:rsidR="00C24D5C" w:rsidRDefault="00C24D5C" w:rsidP="0049607C">
      <w:pPr>
        <w:widowControl w:val="0"/>
        <w:ind w:firstLine="709"/>
        <w:rPr>
          <w:lang w:eastAsia="ru-RU"/>
        </w:rPr>
      </w:pPr>
    </w:p>
    <w:p w14:paraId="1BC9F93C" w14:textId="6E8ECB71" w:rsidR="00346C90" w:rsidRPr="00AE0F1E" w:rsidRDefault="00346C90" w:rsidP="0049607C">
      <w:pPr>
        <w:widowControl w:val="0"/>
        <w:ind w:firstLine="709"/>
        <w:rPr>
          <w:b/>
          <w:lang w:eastAsia="zh-CN"/>
        </w:rPr>
      </w:pPr>
      <w:r w:rsidRPr="00AE0F1E">
        <w:rPr>
          <w:b/>
          <w:lang w:eastAsia="zh-CN"/>
        </w:rPr>
        <w:t>ІІІ. Визначення та оцінка всіх прийнятних альтернативних способів досягнення встановлених цілей з аргументацією переваг обраного способу</w:t>
      </w:r>
    </w:p>
    <w:p w14:paraId="774CE694" w14:textId="4346D0B5" w:rsidR="00343A60" w:rsidRPr="00343A60" w:rsidRDefault="00343A60" w:rsidP="0049607C">
      <w:pPr>
        <w:widowControl w:val="0"/>
        <w:ind w:firstLine="709"/>
        <w:rPr>
          <w:color w:val="000000"/>
        </w:rPr>
      </w:pPr>
      <w:r w:rsidRPr="00343A60">
        <w:rPr>
          <w:color w:val="000000"/>
        </w:rPr>
        <w:t xml:space="preserve">Ураховуючи </w:t>
      </w:r>
      <w:r w:rsidR="00F776EC">
        <w:rPr>
          <w:color w:val="000000"/>
        </w:rPr>
        <w:t>потребу</w:t>
      </w:r>
      <w:r w:rsidRPr="00343A60">
        <w:rPr>
          <w:color w:val="000000"/>
        </w:rPr>
        <w:t xml:space="preserve"> </w:t>
      </w:r>
      <w:r w:rsidR="003D7CEB" w:rsidRPr="003D7CEB">
        <w:rPr>
          <w:color w:val="000000"/>
        </w:rPr>
        <w:t xml:space="preserve">затвердження </w:t>
      </w:r>
      <w:r w:rsidR="00C31107">
        <w:rPr>
          <w:lang w:eastAsia="ru-RU"/>
        </w:rPr>
        <w:t xml:space="preserve">Національним банком </w:t>
      </w:r>
      <w:r w:rsidR="003D7CEB" w:rsidRPr="003D7CEB">
        <w:rPr>
          <w:color w:val="000000"/>
        </w:rPr>
        <w:t xml:space="preserve">за </w:t>
      </w:r>
      <w:r w:rsidR="003E0715">
        <w:rPr>
          <w:color w:val="000000"/>
        </w:rPr>
        <w:t>п</w:t>
      </w:r>
      <w:r w:rsidR="003E0715" w:rsidRPr="003D7CEB">
        <w:rPr>
          <w:color w:val="000000"/>
        </w:rPr>
        <w:t xml:space="preserve">оданням </w:t>
      </w:r>
      <w:r w:rsidR="003E0715">
        <w:rPr>
          <w:color w:val="000000"/>
        </w:rPr>
        <w:t xml:space="preserve">МТСБУ </w:t>
      </w:r>
      <w:r w:rsidR="003D7CEB" w:rsidRPr="003D7CEB">
        <w:rPr>
          <w:color w:val="000000"/>
        </w:rPr>
        <w:t>визначених Законом показників та Положен</w:t>
      </w:r>
      <w:r w:rsidR="003D7CEB">
        <w:rPr>
          <w:color w:val="000000"/>
        </w:rPr>
        <w:t>ня п</w:t>
      </w:r>
      <w:r w:rsidR="001025F9">
        <w:rPr>
          <w:color w:val="000000"/>
        </w:rPr>
        <w:t>р</w:t>
      </w:r>
      <w:r w:rsidR="003D7CEB">
        <w:rPr>
          <w:color w:val="000000"/>
        </w:rPr>
        <w:t>о єдину централізовану базу даних</w:t>
      </w:r>
      <w:r w:rsidR="003E0715">
        <w:rPr>
          <w:color w:val="000000"/>
        </w:rPr>
        <w:t>,</w:t>
      </w:r>
      <w:r w:rsidR="003D7CEB">
        <w:rPr>
          <w:color w:val="000000"/>
        </w:rPr>
        <w:t xml:space="preserve"> </w:t>
      </w:r>
      <w:r w:rsidRPr="00343A60">
        <w:rPr>
          <w:color w:val="000000"/>
        </w:rPr>
        <w:t>альтернативних способів досягнення встановлених цілей немає.</w:t>
      </w:r>
    </w:p>
    <w:p w14:paraId="1AD2628E" w14:textId="0637DAFF" w:rsidR="00C24D5C" w:rsidRDefault="00343A60" w:rsidP="0049607C">
      <w:pPr>
        <w:widowControl w:val="0"/>
        <w:ind w:firstLine="709"/>
        <w:rPr>
          <w:color w:val="000000"/>
        </w:rPr>
      </w:pPr>
      <w:r w:rsidRPr="00343A60">
        <w:rPr>
          <w:color w:val="000000"/>
        </w:rPr>
        <w:t>Таким чином, Національний банк з урахуванням положень Закону</w:t>
      </w:r>
      <w:r w:rsidR="003E0715">
        <w:rPr>
          <w:color w:val="000000"/>
        </w:rPr>
        <w:t xml:space="preserve"> про ОСЦПВ</w:t>
      </w:r>
      <w:r w:rsidRPr="00343A60">
        <w:rPr>
          <w:color w:val="000000"/>
        </w:rPr>
        <w:t xml:space="preserve"> обрав варіант прийняття акта, як найкращий спосіб досягнення зазначених цілей. </w:t>
      </w:r>
    </w:p>
    <w:p w14:paraId="00F8DB13" w14:textId="77777777" w:rsidR="00C24D5C" w:rsidRDefault="00C24D5C" w:rsidP="0049607C">
      <w:pPr>
        <w:widowControl w:val="0"/>
        <w:ind w:firstLine="709"/>
        <w:rPr>
          <w:color w:val="000000"/>
        </w:rPr>
      </w:pPr>
    </w:p>
    <w:p w14:paraId="6ED65389" w14:textId="141B9391" w:rsidR="00346C90" w:rsidRPr="00AE0F1E" w:rsidRDefault="00346C90" w:rsidP="0049607C">
      <w:pPr>
        <w:widowControl w:val="0"/>
        <w:ind w:firstLine="709"/>
        <w:rPr>
          <w:b/>
          <w:lang w:eastAsia="zh-CN"/>
        </w:rPr>
      </w:pPr>
      <w:r w:rsidRPr="00AE0F1E">
        <w:rPr>
          <w:b/>
          <w:lang w:eastAsia="zh-CN"/>
        </w:rPr>
        <w:t>ІV. Опис механізмів і заходів, які забезпечують розв’язання визначеної проблеми шляхом прийняття запропонованого регуляторного акта</w:t>
      </w:r>
    </w:p>
    <w:p w14:paraId="6510F8A2" w14:textId="6AD27AA4" w:rsidR="003D7CEB" w:rsidRDefault="00C24D5C" w:rsidP="0049607C">
      <w:pPr>
        <w:widowControl w:val="0"/>
        <w:ind w:firstLine="709"/>
      </w:pPr>
      <w:r w:rsidRPr="00744EED">
        <w:t>Регуляторний акт</w:t>
      </w:r>
      <w:r w:rsidR="00744EED" w:rsidRPr="00744EED">
        <w:t>,</w:t>
      </w:r>
      <w:r w:rsidRPr="00744EED">
        <w:t xml:space="preserve"> </w:t>
      </w:r>
      <w:r w:rsidR="00744EED" w:rsidRPr="00744EED">
        <w:t xml:space="preserve">зокрема, </w:t>
      </w:r>
      <w:r w:rsidR="003D7CEB" w:rsidRPr="00744EED">
        <w:t>передбачає</w:t>
      </w:r>
      <w:r w:rsidR="001025F9">
        <w:t>:</w:t>
      </w:r>
    </w:p>
    <w:p w14:paraId="1DBC600A" w14:textId="483939D0" w:rsidR="003D7CEB" w:rsidRDefault="003D7CEB" w:rsidP="0049607C">
      <w:pPr>
        <w:widowControl w:val="0"/>
        <w:ind w:firstLine="709"/>
      </w:pPr>
      <w:r w:rsidRPr="00BD0561">
        <w:t xml:space="preserve">розширення діапазону коригуючого </w:t>
      </w:r>
      <w:r w:rsidR="003E0715" w:rsidRPr="00BD0561">
        <w:t xml:space="preserve">коефіцієнту </w:t>
      </w:r>
      <w:r w:rsidRPr="00BD0561">
        <w:t>К6 від 1 до 5 на заміну існуючому діапазону від 1 до 3 залежно від показників збитковості/прибутковості діяльності страховика з обов</w:t>
      </w:r>
      <w:r w:rsidR="00BD0561" w:rsidRPr="00BD0561">
        <w:t>’</w:t>
      </w:r>
      <w:r w:rsidRPr="00BD0561">
        <w:t>язкового страхування цивільно-правової відповідальності власників наземних транспортних засобів</w:t>
      </w:r>
      <w:r w:rsidR="00744EED" w:rsidRPr="00BD0561">
        <w:t>;</w:t>
      </w:r>
      <w:r>
        <w:t xml:space="preserve"> </w:t>
      </w:r>
    </w:p>
    <w:p w14:paraId="31E32301" w14:textId="7A7B986B" w:rsidR="003D7CEB" w:rsidRDefault="003D7CEB" w:rsidP="0049607C">
      <w:pPr>
        <w:widowControl w:val="0"/>
        <w:ind w:firstLine="709"/>
      </w:pPr>
      <w:r>
        <w:t xml:space="preserve">підвищення </w:t>
      </w:r>
      <w:r w:rsidRPr="003D7CEB">
        <w:t>максимальн</w:t>
      </w:r>
      <w:r>
        <w:t>ого</w:t>
      </w:r>
      <w:r w:rsidRPr="003D7CEB">
        <w:t xml:space="preserve"> розмір</w:t>
      </w:r>
      <w:r>
        <w:t>у</w:t>
      </w:r>
      <w:r w:rsidRPr="003D7CEB">
        <w:t xml:space="preserve"> страхової виплати за шкоду, заподіяну майну потерпілих, у разі оформлення документів про дорожньо-транспортну пригоду без участі уповноважених на те працівників Національної поліції України </w:t>
      </w:r>
      <w:r w:rsidR="00744EED">
        <w:t>з 50</w:t>
      </w:r>
      <w:r w:rsidR="003E0715">
        <w:t xml:space="preserve"> </w:t>
      </w:r>
      <w:r w:rsidR="00744EED">
        <w:t xml:space="preserve">000 до </w:t>
      </w:r>
      <w:r w:rsidR="00BD0561">
        <w:t>80 000 грн</w:t>
      </w:r>
      <w:r w:rsidR="00744EED">
        <w:t>;</w:t>
      </w:r>
    </w:p>
    <w:p w14:paraId="359A43A5" w14:textId="20985A17" w:rsidR="00744EED" w:rsidRDefault="003E0715" w:rsidP="0049607C">
      <w:pPr>
        <w:widowControl w:val="0"/>
        <w:ind w:firstLine="709"/>
      </w:pPr>
      <w:r>
        <w:t xml:space="preserve">затвердження </w:t>
      </w:r>
      <w:r w:rsidRPr="003E0715">
        <w:t>Положення про єдину централізовану базу даних щодо обов</w:t>
      </w:r>
      <w:r w:rsidR="00BD0561">
        <w:t>’</w:t>
      </w:r>
      <w:r w:rsidRPr="003E0715">
        <w:t>язкового страхування цивільно-правової відповідальності власників наземних транспортних засобів</w:t>
      </w:r>
      <w:r>
        <w:t xml:space="preserve">, що передбачає </w:t>
      </w:r>
      <w:r w:rsidRPr="00744EED">
        <w:t>включення до єдиної централізованої бази даних МТСБУ інформації про укладені електронні міжнародні договори з обов’язкового страхування цивільно-правової відповідальності власників наземних транспортних засобів</w:t>
      </w:r>
      <w:r w:rsidR="00744EED">
        <w:t>.</w:t>
      </w:r>
    </w:p>
    <w:p w14:paraId="1C62451C" w14:textId="0BA21B75" w:rsidR="0038254F" w:rsidRDefault="0038254F" w:rsidP="0049607C">
      <w:pPr>
        <w:widowControl w:val="0"/>
        <w:ind w:firstLine="709"/>
        <w:rPr>
          <w:highlight w:val="yellow"/>
        </w:rPr>
      </w:pPr>
      <w:r w:rsidRPr="00AE0F1E">
        <w:lastRenderedPageBreak/>
        <w:t>Ступінь ефективності цього регуляторного акта оцінюватиметься за результатами аналізу показників діяльності страховиків</w:t>
      </w:r>
      <w:r>
        <w:t xml:space="preserve">, які </w:t>
      </w:r>
      <w:r>
        <w:rPr>
          <w:lang w:eastAsia="ru-RU"/>
        </w:rPr>
        <w:t>отримали ліцензію на обов</w:t>
      </w:r>
      <w:r w:rsidR="00BD0561">
        <w:rPr>
          <w:lang w:eastAsia="ru-RU"/>
        </w:rPr>
        <w:t>’</w:t>
      </w:r>
      <w:r>
        <w:rPr>
          <w:lang w:eastAsia="ru-RU"/>
        </w:rPr>
        <w:t>язкове страхування цивільно-правової відповідальності власників наземних транспортних засобів</w:t>
      </w:r>
      <w:r w:rsidRPr="00AE0F1E">
        <w:t xml:space="preserve"> </w:t>
      </w:r>
      <w:r w:rsidR="00BD0561">
        <w:t xml:space="preserve">та здійснюють діяльність </w:t>
      </w:r>
      <w:r w:rsidRPr="00AE0F1E">
        <w:t xml:space="preserve">на ринку </w:t>
      </w:r>
      <w:r>
        <w:t>страхування.</w:t>
      </w:r>
    </w:p>
    <w:p w14:paraId="2504B97C" w14:textId="77777777" w:rsidR="00C24D5C" w:rsidRPr="00AE0F1E" w:rsidRDefault="00C24D5C" w:rsidP="0049607C">
      <w:pPr>
        <w:widowControl w:val="0"/>
        <w:ind w:firstLine="709"/>
        <w:rPr>
          <w:lang w:eastAsia="zh-CN"/>
        </w:rPr>
      </w:pPr>
    </w:p>
    <w:p w14:paraId="5E55B236" w14:textId="08D07F26" w:rsidR="00346C90" w:rsidRPr="00AE0F1E" w:rsidRDefault="00346C90" w:rsidP="0049607C">
      <w:pPr>
        <w:widowControl w:val="0"/>
        <w:ind w:firstLine="709"/>
        <w:rPr>
          <w:rFonts w:ascii="Courier New" w:eastAsia="Arial Unicode MS" w:hAnsi="Courier New" w:cs="Courier New"/>
          <w:b/>
          <w:lang w:eastAsia="zh-CN"/>
        </w:rPr>
      </w:pPr>
      <w:r w:rsidRPr="00AE0F1E">
        <w:rPr>
          <w:rFonts w:eastAsia="Arial Unicode MS"/>
          <w:b/>
          <w:lang w:eastAsia="zh-CN"/>
        </w:rPr>
        <w:t>V. Обґрунтування можливості досягнення цілей у разі прийняття запропонованого регуляторного акт</w:t>
      </w:r>
      <w:r w:rsidR="00343A60">
        <w:rPr>
          <w:rFonts w:eastAsia="Arial Unicode MS"/>
          <w:b/>
          <w:lang w:eastAsia="zh-CN"/>
        </w:rPr>
        <w:t>а</w:t>
      </w:r>
    </w:p>
    <w:p w14:paraId="18A2A533" w14:textId="7EC83E21" w:rsidR="00346C90" w:rsidRPr="00AE0F1E" w:rsidRDefault="00346C90" w:rsidP="0049607C">
      <w:pPr>
        <w:widowControl w:val="0"/>
        <w:ind w:firstLine="709"/>
      </w:pPr>
      <w:r w:rsidRPr="00AE0F1E">
        <w:t>Вимоги регуляторного акт</w:t>
      </w:r>
      <w:r w:rsidR="00343A60">
        <w:t>а</w:t>
      </w:r>
      <w:r w:rsidR="0049787B" w:rsidRPr="00AE0F1E">
        <w:t xml:space="preserve"> є </w:t>
      </w:r>
      <w:r w:rsidRPr="00AE0F1E">
        <w:t>обов’язков</w:t>
      </w:r>
      <w:r w:rsidR="0049787B" w:rsidRPr="00AE0F1E">
        <w:t>ими</w:t>
      </w:r>
      <w:r w:rsidRPr="00AE0F1E">
        <w:t xml:space="preserve"> для виконання усіма </w:t>
      </w:r>
      <w:r w:rsidR="00147E47" w:rsidRPr="00AE0F1E">
        <w:t>страхови</w:t>
      </w:r>
      <w:r w:rsidR="0049787B" w:rsidRPr="00AE0F1E">
        <w:t>ка</w:t>
      </w:r>
      <w:r w:rsidR="00147E47" w:rsidRPr="00AE0F1E">
        <w:t>ми</w:t>
      </w:r>
      <w:r w:rsidR="00754D11">
        <w:t xml:space="preserve">, які </w:t>
      </w:r>
      <w:r w:rsidR="0038254F">
        <w:rPr>
          <w:lang w:eastAsia="ru-RU"/>
        </w:rPr>
        <w:t>отримали ліцензію на обов</w:t>
      </w:r>
      <w:r w:rsidR="00BD0561" w:rsidRPr="00AE0F1E">
        <w:t>’</w:t>
      </w:r>
      <w:r w:rsidR="0038254F">
        <w:rPr>
          <w:lang w:eastAsia="ru-RU"/>
        </w:rPr>
        <w:t>язкове страхування цивільно-правової відповідальності власників наземних транспортних засобів</w:t>
      </w:r>
      <w:r w:rsidRPr="00AE0F1E">
        <w:t xml:space="preserve">. Ризик як негативного, так і позитивного впливу зовнішніх </w:t>
      </w:r>
      <w:r w:rsidR="001025F9">
        <w:t>чинників</w:t>
      </w:r>
      <w:r w:rsidRPr="00AE0F1E">
        <w:t xml:space="preserve"> на дію цього регуляторного акт</w:t>
      </w:r>
      <w:r w:rsidR="00343A60">
        <w:t>а</w:t>
      </w:r>
      <w:r w:rsidRPr="00AE0F1E">
        <w:t xml:space="preserve"> потенційно зумовлюється головним чином змінами в законодавчих актах України, що може призвести до </w:t>
      </w:r>
      <w:r w:rsidR="001025F9">
        <w:t>потреби</w:t>
      </w:r>
      <w:r w:rsidRPr="00AE0F1E">
        <w:t xml:space="preserve"> внесення змін до </w:t>
      </w:r>
      <w:r w:rsidR="002566B7" w:rsidRPr="00AE0F1E">
        <w:t>цього</w:t>
      </w:r>
      <w:r w:rsidRPr="00AE0F1E">
        <w:t xml:space="preserve"> регуляторного акт</w:t>
      </w:r>
      <w:r w:rsidR="00343A60">
        <w:t>а</w:t>
      </w:r>
      <w:r w:rsidRPr="00AE0F1E">
        <w:t>.</w:t>
      </w:r>
    </w:p>
    <w:p w14:paraId="32A8585D" w14:textId="2F4BD51F" w:rsidR="00346C90" w:rsidRPr="00AE0F1E" w:rsidRDefault="00346C90" w:rsidP="0049607C">
      <w:pPr>
        <w:widowControl w:val="0"/>
        <w:ind w:firstLine="709"/>
      </w:pPr>
      <w:r w:rsidRPr="00AE0F1E">
        <w:t>Впровадження вимог такого регуляторного акт</w:t>
      </w:r>
      <w:r w:rsidR="00343A60">
        <w:t>а</w:t>
      </w:r>
      <w:r w:rsidRPr="00AE0F1E">
        <w:t xml:space="preserve"> не потребує додаткових витрат Національного банку, </w:t>
      </w:r>
      <w:r w:rsidR="002566B7" w:rsidRPr="00AE0F1E">
        <w:t>оскільки</w:t>
      </w:r>
      <w:r w:rsidRPr="00AE0F1E">
        <w:t xml:space="preserve"> здійснюється в межах його повноважень.</w:t>
      </w:r>
    </w:p>
    <w:p w14:paraId="24FD673F" w14:textId="21E30DCE" w:rsidR="00346C90" w:rsidRPr="00AE0F1E" w:rsidRDefault="00346C90" w:rsidP="0049607C">
      <w:pPr>
        <w:widowControl w:val="0"/>
        <w:ind w:firstLine="709"/>
        <w:rPr>
          <w:lang w:eastAsia="ru-RU"/>
        </w:rPr>
      </w:pPr>
      <w:r w:rsidRPr="00AE0F1E">
        <w:rPr>
          <w:lang w:eastAsia="ru-RU"/>
        </w:rPr>
        <w:t>Здійснення державного контролю та нагляду за додержанням вимог акт</w:t>
      </w:r>
      <w:r w:rsidR="00343A60">
        <w:rPr>
          <w:lang w:eastAsia="ru-RU"/>
        </w:rPr>
        <w:t>а</w:t>
      </w:r>
      <w:r w:rsidRPr="00AE0F1E">
        <w:rPr>
          <w:lang w:eastAsia="ru-RU"/>
        </w:rPr>
        <w:t xml:space="preserve"> відбуватиметься в </w:t>
      </w:r>
      <w:r w:rsidR="001025F9">
        <w:rPr>
          <w:lang w:eastAsia="ru-RU"/>
        </w:rPr>
        <w:t>межах</w:t>
      </w:r>
      <w:r w:rsidRPr="00AE0F1E">
        <w:rPr>
          <w:lang w:eastAsia="ru-RU"/>
        </w:rPr>
        <w:t xml:space="preserve"> здійснення Національним банком наглядової діяльності </w:t>
      </w:r>
      <w:r w:rsidR="0089055B" w:rsidRPr="00AE0F1E">
        <w:rPr>
          <w:lang w:eastAsia="ru-RU"/>
        </w:rPr>
        <w:t xml:space="preserve">за здійсненням </w:t>
      </w:r>
      <w:r w:rsidR="00147E47" w:rsidRPr="00AE0F1E">
        <w:rPr>
          <w:lang w:eastAsia="ru-RU"/>
        </w:rPr>
        <w:t>діяльності</w:t>
      </w:r>
      <w:r w:rsidR="0089055B" w:rsidRPr="00AE0F1E">
        <w:rPr>
          <w:lang w:eastAsia="ru-RU"/>
        </w:rPr>
        <w:t xml:space="preserve"> на ринку страхування</w:t>
      </w:r>
      <w:r w:rsidR="00677413" w:rsidRPr="00AE0F1E">
        <w:rPr>
          <w:lang w:eastAsia="ru-RU"/>
        </w:rPr>
        <w:t xml:space="preserve"> </w:t>
      </w:r>
      <w:r w:rsidRPr="00AE0F1E">
        <w:rPr>
          <w:lang w:eastAsia="ru-RU"/>
        </w:rPr>
        <w:t>із періодичністю, визначеною відповідн</w:t>
      </w:r>
      <w:r w:rsidR="0089055B" w:rsidRPr="00AE0F1E">
        <w:rPr>
          <w:lang w:eastAsia="ru-RU"/>
        </w:rPr>
        <w:t>ими нормативно-правовими актами Національного банку.</w:t>
      </w:r>
    </w:p>
    <w:p w14:paraId="286EAA57" w14:textId="77777777" w:rsidR="00346C90" w:rsidRPr="00AE0F1E" w:rsidRDefault="00346C90" w:rsidP="0049607C">
      <w:pPr>
        <w:widowControl w:val="0"/>
        <w:tabs>
          <w:tab w:val="left" w:pos="683"/>
        </w:tabs>
        <w:ind w:firstLine="709"/>
        <w:rPr>
          <w:lang w:eastAsia="zh-CN"/>
        </w:rPr>
      </w:pPr>
    </w:p>
    <w:p w14:paraId="388985E7" w14:textId="4D6014A0" w:rsidR="00346C90" w:rsidRPr="00AE0F1E" w:rsidRDefault="00346C90" w:rsidP="0049607C">
      <w:pPr>
        <w:widowControl w:val="0"/>
        <w:ind w:firstLine="709"/>
        <w:rPr>
          <w:b/>
          <w:lang w:eastAsia="zh-CN"/>
        </w:rPr>
      </w:pPr>
      <w:r w:rsidRPr="00AE0F1E">
        <w:rPr>
          <w:b/>
          <w:lang w:eastAsia="zh-CN"/>
        </w:rPr>
        <w:t>VI. Визначення очікуваних результатів прийняття запропонованого регуляторного акт</w:t>
      </w:r>
      <w:r w:rsidR="00343A60">
        <w:rPr>
          <w:b/>
          <w:lang w:eastAsia="zh-CN"/>
        </w:rPr>
        <w:t>а</w:t>
      </w:r>
    </w:p>
    <w:p w14:paraId="09AF1CEC" w14:textId="2F7DBAD9" w:rsidR="00677413" w:rsidRPr="00A86EAF" w:rsidRDefault="00677413" w:rsidP="0049607C">
      <w:pPr>
        <w:widowControl w:val="0"/>
        <w:tabs>
          <w:tab w:val="left" w:pos="1512"/>
        </w:tabs>
        <w:ind w:firstLine="709"/>
        <w:rPr>
          <w:rFonts w:eastAsiaTheme="minorEastAsia"/>
          <w:color w:val="000000"/>
        </w:rPr>
      </w:pPr>
      <w:r w:rsidRPr="00AE0F1E">
        <w:rPr>
          <w:color w:val="000000"/>
        </w:rPr>
        <w:t>Прийняття акт</w:t>
      </w:r>
      <w:r w:rsidR="00343A60">
        <w:rPr>
          <w:color w:val="000000"/>
        </w:rPr>
        <w:t>а</w:t>
      </w:r>
      <w:r w:rsidRPr="00AE0F1E">
        <w:rPr>
          <w:color w:val="000000"/>
        </w:rPr>
        <w:t xml:space="preserve"> </w:t>
      </w:r>
      <w:r w:rsidRPr="00AE0F1E">
        <w:rPr>
          <w:color w:val="000000"/>
          <w:lang w:eastAsia="ru-RU"/>
        </w:rPr>
        <w:t xml:space="preserve">сприятиме реалізації повноважень </w:t>
      </w:r>
      <w:r w:rsidRPr="00AE0F1E">
        <w:t xml:space="preserve">Національного банку. </w:t>
      </w:r>
    </w:p>
    <w:p w14:paraId="447AFCCC" w14:textId="2D8A7690" w:rsidR="00346C90" w:rsidRPr="00AE0F1E" w:rsidRDefault="00677413" w:rsidP="0049607C">
      <w:pPr>
        <w:widowControl w:val="0"/>
        <w:tabs>
          <w:tab w:val="left" w:pos="1512"/>
        </w:tabs>
        <w:ind w:firstLine="709"/>
        <w:rPr>
          <w:lang w:eastAsia="ru-RU"/>
        </w:rPr>
      </w:pPr>
      <w:r w:rsidRPr="00AE0F1E">
        <w:t>П</w:t>
      </w:r>
      <w:r w:rsidR="00346C90" w:rsidRPr="00AE0F1E">
        <w:rPr>
          <w:lang w:eastAsia="ru-RU"/>
        </w:rPr>
        <w:t xml:space="preserve">озитивними результатами прийняття </w:t>
      </w:r>
      <w:r w:rsidR="00346C90" w:rsidRPr="00744EED">
        <w:rPr>
          <w:lang w:eastAsia="ru-RU"/>
        </w:rPr>
        <w:t>а</w:t>
      </w:r>
      <w:r w:rsidR="00CA778D" w:rsidRPr="00744EED">
        <w:rPr>
          <w:lang w:eastAsia="ru-RU"/>
        </w:rPr>
        <w:t>к</w:t>
      </w:r>
      <w:r w:rsidR="00346C90" w:rsidRPr="00744EED">
        <w:rPr>
          <w:lang w:eastAsia="ru-RU"/>
        </w:rPr>
        <w:t>т</w:t>
      </w:r>
      <w:r w:rsidR="00343A60" w:rsidRPr="00744EED">
        <w:rPr>
          <w:lang w:eastAsia="ru-RU"/>
        </w:rPr>
        <w:t>а</w:t>
      </w:r>
      <w:r w:rsidR="00346C90" w:rsidRPr="00744EED">
        <w:rPr>
          <w:lang w:eastAsia="ru-RU"/>
        </w:rPr>
        <w:t xml:space="preserve"> буде </w:t>
      </w:r>
      <w:r w:rsidR="00BD0561">
        <w:rPr>
          <w:lang w:eastAsia="ru-RU"/>
        </w:rPr>
        <w:t>мінімізація</w:t>
      </w:r>
      <w:r w:rsidR="00744EED" w:rsidRPr="00744EED">
        <w:rPr>
          <w:lang w:eastAsia="ru-RU"/>
        </w:rPr>
        <w:t xml:space="preserve"> ризиків</w:t>
      </w:r>
      <w:r w:rsidR="00BD0561">
        <w:rPr>
          <w:lang w:eastAsia="ru-RU"/>
        </w:rPr>
        <w:t xml:space="preserve"> страховиків </w:t>
      </w:r>
      <w:r w:rsidR="001025F9">
        <w:rPr>
          <w:lang w:eastAsia="ru-RU"/>
        </w:rPr>
        <w:t>під час</w:t>
      </w:r>
      <w:r w:rsidR="00BD0561">
        <w:rPr>
          <w:lang w:eastAsia="ru-RU"/>
        </w:rPr>
        <w:t xml:space="preserve"> укладанн</w:t>
      </w:r>
      <w:r w:rsidR="001025F9">
        <w:rPr>
          <w:lang w:eastAsia="ru-RU"/>
        </w:rPr>
        <w:t>я</w:t>
      </w:r>
      <w:r w:rsidR="00BD0561">
        <w:rPr>
          <w:lang w:eastAsia="ru-RU"/>
        </w:rPr>
        <w:t xml:space="preserve"> договорів </w:t>
      </w:r>
      <w:r w:rsidR="00BD0561" w:rsidRPr="00CA778D">
        <w:rPr>
          <w:color w:val="000000"/>
        </w:rPr>
        <w:t>обов</w:t>
      </w:r>
      <w:r w:rsidR="00BD0561">
        <w:rPr>
          <w:color w:val="000000"/>
        </w:rPr>
        <w:t>’</w:t>
      </w:r>
      <w:r w:rsidR="00BD0561" w:rsidRPr="00CA778D">
        <w:rPr>
          <w:color w:val="000000"/>
        </w:rPr>
        <w:t>язков</w:t>
      </w:r>
      <w:r w:rsidR="00BD0561">
        <w:rPr>
          <w:color w:val="000000"/>
        </w:rPr>
        <w:t>ого</w:t>
      </w:r>
      <w:r w:rsidR="00BD0561" w:rsidRPr="00CA778D">
        <w:rPr>
          <w:color w:val="000000"/>
        </w:rPr>
        <w:t xml:space="preserve"> страхування цивільно-правової відповідальності власників наземних транспортних засобів</w:t>
      </w:r>
      <w:r w:rsidR="00BD0561" w:rsidRPr="00744EED">
        <w:rPr>
          <w:lang w:eastAsia="ru-RU"/>
        </w:rPr>
        <w:t xml:space="preserve"> </w:t>
      </w:r>
      <w:r w:rsidR="00744EED" w:rsidRPr="00744EED">
        <w:rPr>
          <w:lang w:eastAsia="ru-RU"/>
        </w:rPr>
        <w:t>та формування адекватної тарифної політики</w:t>
      </w:r>
      <w:r w:rsidR="00744EED">
        <w:rPr>
          <w:lang w:eastAsia="ru-RU"/>
        </w:rPr>
        <w:t>;</w:t>
      </w:r>
      <w:r w:rsidR="00744EED" w:rsidRPr="00744EED">
        <w:rPr>
          <w:lang w:eastAsia="ru-RU"/>
        </w:rPr>
        <w:t xml:space="preserve"> включення до єдиної централізованої бази даних МТСБУ інформації про укладені електронні міжнародні договори з обов’язкового страхування цивільно-правової відповідальності власників наземних транспортних засобів та сприя</w:t>
      </w:r>
      <w:r w:rsidR="00744EED">
        <w:rPr>
          <w:lang w:eastAsia="ru-RU"/>
        </w:rPr>
        <w:t xml:space="preserve">ння </w:t>
      </w:r>
      <w:r w:rsidR="00744EED" w:rsidRPr="00744EED">
        <w:rPr>
          <w:lang w:eastAsia="ru-RU"/>
        </w:rPr>
        <w:t xml:space="preserve">подальшому </w:t>
      </w:r>
      <w:r w:rsidR="00BD0561">
        <w:rPr>
          <w:lang w:eastAsia="ru-RU"/>
        </w:rPr>
        <w:t>по</w:t>
      </w:r>
      <w:r w:rsidR="00744EED" w:rsidRPr="00744EED">
        <w:rPr>
          <w:lang w:eastAsia="ru-RU"/>
        </w:rPr>
        <w:t>ширенню оформлення документів про дорожньо-транспортну пригоду без участі уповноважених на те працівників Національно</w:t>
      </w:r>
      <w:r w:rsidR="00515F33">
        <w:rPr>
          <w:lang w:eastAsia="ru-RU"/>
        </w:rPr>
        <w:t>ї поліції України</w:t>
      </w:r>
      <w:r w:rsidR="00744EED">
        <w:rPr>
          <w:lang w:eastAsia="ru-RU"/>
        </w:rPr>
        <w:t>.</w:t>
      </w:r>
    </w:p>
    <w:p w14:paraId="62162A0C" w14:textId="77777777" w:rsidR="004044E8" w:rsidRDefault="004044E8" w:rsidP="0049607C">
      <w:pPr>
        <w:ind w:firstLine="709"/>
        <w:rPr>
          <w:b/>
          <w:lang w:eastAsia="zh-CN"/>
        </w:rPr>
      </w:pPr>
    </w:p>
    <w:p w14:paraId="3E348908" w14:textId="72BD453D" w:rsidR="0049787B" w:rsidRPr="00AE0F1E" w:rsidRDefault="00346C90" w:rsidP="0049607C">
      <w:pPr>
        <w:ind w:firstLine="709"/>
        <w:rPr>
          <w:b/>
          <w:color w:val="000000"/>
        </w:rPr>
      </w:pPr>
      <w:r w:rsidRPr="00AE0F1E">
        <w:rPr>
          <w:b/>
          <w:lang w:eastAsia="zh-CN"/>
        </w:rPr>
        <w:t xml:space="preserve">VII. </w:t>
      </w:r>
      <w:r w:rsidR="0049787B" w:rsidRPr="00AE0F1E">
        <w:rPr>
          <w:b/>
          <w:color w:val="000000"/>
        </w:rPr>
        <w:t>Обґрунтування строку чинності запропонованого регуляторного акт</w:t>
      </w:r>
      <w:r w:rsidR="00343A60">
        <w:rPr>
          <w:b/>
          <w:color w:val="000000"/>
        </w:rPr>
        <w:t>а</w:t>
      </w:r>
    </w:p>
    <w:p w14:paraId="6E4FF106" w14:textId="56B8982A" w:rsidR="0049787B" w:rsidRPr="00BD0561" w:rsidRDefault="0049787B" w:rsidP="0049607C">
      <w:pPr>
        <w:ind w:firstLine="709"/>
        <w:rPr>
          <w:color w:val="000000"/>
        </w:rPr>
      </w:pPr>
      <w:r w:rsidRPr="00BD0561">
        <w:rPr>
          <w:color w:val="000000"/>
        </w:rPr>
        <w:lastRenderedPageBreak/>
        <w:t>Запропонований до розгляду акт набиратиме чинності з</w:t>
      </w:r>
      <w:r w:rsidR="00CA778D" w:rsidRPr="00BD0561">
        <w:rPr>
          <w:color w:val="000000"/>
        </w:rPr>
        <w:t xml:space="preserve"> </w:t>
      </w:r>
      <w:r w:rsidR="00515F33">
        <w:rPr>
          <w:color w:val="000000"/>
        </w:rPr>
        <w:t>0</w:t>
      </w:r>
      <w:r w:rsidR="00CA778D" w:rsidRPr="00BD0561">
        <w:rPr>
          <w:color w:val="000000"/>
        </w:rPr>
        <w:t xml:space="preserve">1 </w:t>
      </w:r>
      <w:r w:rsidR="00BD0561" w:rsidRPr="00BD0561">
        <w:rPr>
          <w:color w:val="000000"/>
        </w:rPr>
        <w:t>червня</w:t>
      </w:r>
      <w:r w:rsidR="00CA778D" w:rsidRPr="00BD0561">
        <w:rPr>
          <w:color w:val="000000"/>
        </w:rPr>
        <w:t xml:space="preserve"> 2022 року.</w:t>
      </w:r>
    </w:p>
    <w:p w14:paraId="0BDE7303" w14:textId="4AF2CAB7" w:rsidR="0049787B" w:rsidRPr="00AE0F1E" w:rsidRDefault="0049787B" w:rsidP="0049607C">
      <w:pPr>
        <w:ind w:firstLine="709"/>
        <w:rPr>
          <w:color w:val="000000"/>
        </w:rPr>
      </w:pPr>
      <w:r w:rsidRPr="00BD0561">
        <w:rPr>
          <w:color w:val="000000"/>
        </w:rPr>
        <w:t>Строк дії акт</w:t>
      </w:r>
      <w:r w:rsidR="001025F9">
        <w:rPr>
          <w:color w:val="000000"/>
        </w:rPr>
        <w:t>а</w:t>
      </w:r>
      <w:r w:rsidRPr="00BD0561">
        <w:rPr>
          <w:color w:val="000000"/>
        </w:rPr>
        <w:t xml:space="preserve"> не обмежений у часі.</w:t>
      </w:r>
    </w:p>
    <w:p w14:paraId="69E1C13D" w14:textId="77777777" w:rsidR="0049787B" w:rsidRPr="00AE0F1E" w:rsidRDefault="0049787B" w:rsidP="0049607C">
      <w:pPr>
        <w:ind w:firstLine="709"/>
        <w:rPr>
          <w:b/>
          <w:lang w:eastAsia="zh-CN"/>
        </w:rPr>
      </w:pPr>
    </w:p>
    <w:p w14:paraId="3D40F879" w14:textId="21DAF172" w:rsidR="00346C90" w:rsidRPr="00AE0F1E" w:rsidRDefault="0049787B" w:rsidP="0049607C">
      <w:pPr>
        <w:ind w:firstLine="709"/>
        <w:rPr>
          <w:b/>
          <w:lang w:eastAsia="zh-CN"/>
        </w:rPr>
      </w:pPr>
      <w:r w:rsidRPr="00AE0F1E">
        <w:rPr>
          <w:b/>
          <w:color w:val="000000"/>
        </w:rPr>
        <w:t xml:space="preserve">VІІІ. </w:t>
      </w:r>
      <w:r w:rsidR="00346C90" w:rsidRPr="00AE0F1E">
        <w:rPr>
          <w:b/>
          <w:lang w:eastAsia="zh-CN"/>
        </w:rPr>
        <w:t>Визначення показників результативності регуляторного акт</w:t>
      </w:r>
      <w:r w:rsidR="00343A60">
        <w:rPr>
          <w:b/>
          <w:lang w:eastAsia="zh-CN"/>
        </w:rPr>
        <w:t>а</w:t>
      </w:r>
    </w:p>
    <w:p w14:paraId="497681C0" w14:textId="3FCCE207" w:rsidR="00BD0561" w:rsidRDefault="00BD0561" w:rsidP="0049607C">
      <w:pPr>
        <w:ind w:firstLine="709"/>
      </w:pPr>
      <w:r>
        <w:t xml:space="preserve">Показниками результативності регуляторного акта є: </w:t>
      </w:r>
    </w:p>
    <w:p w14:paraId="625C7A57" w14:textId="77777777" w:rsidR="00BD0561" w:rsidRDefault="00BD0561" w:rsidP="0049607C">
      <w:pPr>
        <w:ind w:firstLine="709"/>
      </w:pPr>
      <w:r>
        <w:t xml:space="preserve">1) кількість суб’єктів господарювання та/або фізичних осіб, на яких поширюватиметься дія акта. Станом на вересень 2021 року кількість страховиків, які мають ліцензію </w:t>
      </w:r>
      <w:r>
        <w:rPr>
          <w:lang w:eastAsia="ru-RU"/>
        </w:rPr>
        <w:t xml:space="preserve">на обов’язкове страхування цивільно-правової відповідальності власників наземних транспортних засобів, </w:t>
      </w:r>
      <w:r>
        <w:t xml:space="preserve">– </w:t>
      </w:r>
      <w:r>
        <w:rPr>
          <w:lang w:eastAsia="ru-RU"/>
        </w:rPr>
        <w:t>43 страховики;</w:t>
      </w:r>
      <w:r>
        <w:t xml:space="preserve"> </w:t>
      </w:r>
    </w:p>
    <w:p w14:paraId="10CE4269" w14:textId="77777777" w:rsidR="00BD0561" w:rsidRDefault="00BD0561" w:rsidP="0049607C">
      <w:pPr>
        <w:ind w:firstLine="709"/>
      </w:pPr>
      <w:r>
        <w:t xml:space="preserve">2) розмір коштів і час, що витрачатимуться суб’єктами господарювання та/або фізичними особами, пов’язаними з виконанням вимог регуляторного акта. Кількісний показник результативності регуляторного акта визначатиметься через кількість страховиків, які матимуть право здійснювати діяльність з </w:t>
      </w:r>
      <w:r>
        <w:rPr>
          <w:lang w:eastAsia="ru-RU"/>
        </w:rPr>
        <w:t>обов’язкового страхування цивільно-правової відповідальності власників наземних транспортних засобів</w:t>
      </w:r>
      <w:r>
        <w:t xml:space="preserve"> відповідно до вимог акта. Часові витрати страховиків полягатимуть у приведенні організаційної структури страховика у відповідність до вимог цього регуляторного акта в частині інформування щодо зміни розміру страхових сум; </w:t>
      </w:r>
    </w:p>
    <w:p w14:paraId="53D671B6" w14:textId="6DD7367E" w:rsidR="00BD0561" w:rsidRDefault="00BD0561" w:rsidP="0049607C">
      <w:pPr>
        <w:ind w:firstLine="709"/>
      </w:pPr>
      <w:r>
        <w:t xml:space="preserve">3) обсяг валових страхових премій та здійснених страховиками </w:t>
      </w:r>
      <w:r w:rsidR="00515F33">
        <w:t xml:space="preserve">валових </w:t>
      </w:r>
      <w:r>
        <w:t xml:space="preserve">страхових виплат за договорами з </w:t>
      </w:r>
      <w:r>
        <w:rPr>
          <w:lang w:eastAsia="ru-RU"/>
        </w:rPr>
        <w:t>обов’язкового страхування цивільно-правової відповідальності власників наземних транспортних засобів</w:t>
      </w:r>
      <w:r>
        <w:t>. За даними звітності страховиків станом на 30</w:t>
      </w:r>
      <w:r w:rsidR="00515F33">
        <w:t xml:space="preserve"> червня </w:t>
      </w:r>
      <w:r>
        <w:t xml:space="preserve">2021 обсяг валових страхових премій за внутрішніми договорами за цим видом страхування становив 3245,3 млн грн, а обсяг </w:t>
      </w:r>
      <w:r w:rsidR="00515F33">
        <w:t xml:space="preserve">валових </w:t>
      </w:r>
      <w:r>
        <w:t>страхових виплат – 1702,8 млн грн.</w:t>
      </w:r>
    </w:p>
    <w:p w14:paraId="64D53C77" w14:textId="4B37330C" w:rsidR="00BD0561" w:rsidRDefault="00BD0561" w:rsidP="0049607C">
      <w:pPr>
        <w:ind w:firstLine="709"/>
      </w:pPr>
      <w:r>
        <w:t xml:space="preserve">4) кількість укладених </w:t>
      </w:r>
      <w:r w:rsidR="00515F33">
        <w:t xml:space="preserve">договорів </w:t>
      </w:r>
      <w:r>
        <w:t xml:space="preserve">з </w:t>
      </w:r>
      <w:r>
        <w:rPr>
          <w:lang w:eastAsia="ru-RU"/>
        </w:rPr>
        <w:t xml:space="preserve">обов’язкового страхування цивільно-правової відповідальності власників наземних транспортних засобів у ІІ півріччі 2021 року </w:t>
      </w:r>
      <w:r w:rsidR="0040550B">
        <w:t>– 4 281 130 шт.;</w:t>
      </w:r>
    </w:p>
    <w:p w14:paraId="0B3F00DC" w14:textId="0E8A8882" w:rsidR="0040550B" w:rsidRDefault="0040550B" w:rsidP="0049607C">
      <w:pPr>
        <w:ind w:firstLine="709"/>
        <w:rPr>
          <w:lang w:eastAsia="zh-CN"/>
        </w:rPr>
      </w:pPr>
      <w:r w:rsidRPr="0040550B">
        <w:rPr>
          <w:lang w:eastAsia="zh-CN"/>
        </w:rPr>
        <w:t xml:space="preserve">5) </w:t>
      </w:r>
      <w:r>
        <w:rPr>
          <w:lang w:eastAsia="zh-CN"/>
        </w:rPr>
        <w:t xml:space="preserve">кількість </w:t>
      </w:r>
      <w:r w:rsidR="001025F9">
        <w:rPr>
          <w:lang w:eastAsia="zh-CN"/>
        </w:rPr>
        <w:t>у</w:t>
      </w:r>
      <w:r>
        <w:rPr>
          <w:lang w:eastAsia="zh-CN"/>
        </w:rPr>
        <w:t xml:space="preserve">регульованих вимог за шкоду </w:t>
      </w:r>
      <w:r>
        <w:rPr>
          <w:color w:val="000000"/>
          <w:lang w:eastAsia="ru-RU"/>
        </w:rPr>
        <w:t xml:space="preserve">заподіяну майну потерпілих </w:t>
      </w:r>
      <w:r w:rsidR="00515F33">
        <w:rPr>
          <w:color w:val="000000"/>
          <w:lang w:eastAsia="ru-RU"/>
        </w:rPr>
        <w:t>п</w:t>
      </w:r>
      <w:r w:rsidR="001025F9">
        <w:rPr>
          <w:color w:val="000000"/>
          <w:lang w:eastAsia="ru-RU"/>
        </w:rPr>
        <w:t>ід час</w:t>
      </w:r>
      <w:r>
        <w:rPr>
          <w:color w:val="000000"/>
          <w:lang w:eastAsia="ru-RU"/>
        </w:rPr>
        <w:t xml:space="preserve"> </w:t>
      </w:r>
      <w:r w:rsidR="00515F33" w:rsidRPr="00744EED">
        <w:rPr>
          <w:lang w:eastAsia="ru-RU"/>
        </w:rPr>
        <w:t>оформленн</w:t>
      </w:r>
      <w:r w:rsidR="001025F9">
        <w:rPr>
          <w:lang w:eastAsia="ru-RU"/>
        </w:rPr>
        <w:t>я</w:t>
      </w:r>
      <w:r w:rsidR="00515F33" w:rsidRPr="00744EED">
        <w:rPr>
          <w:lang w:eastAsia="ru-RU"/>
        </w:rPr>
        <w:t xml:space="preserve"> документів про дорожньо-транспортну пригоду без участі уповноважених на те працівників Національно</w:t>
      </w:r>
      <w:r w:rsidR="00515F33">
        <w:rPr>
          <w:lang w:eastAsia="ru-RU"/>
        </w:rPr>
        <w:t>ї поліції України</w:t>
      </w:r>
      <w:r>
        <w:t xml:space="preserve"> </w:t>
      </w:r>
      <w:r w:rsidR="001025F9">
        <w:rPr>
          <w:lang w:eastAsia="ru-RU"/>
        </w:rPr>
        <w:t>в</w:t>
      </w:r>
      <w:r>
        <w:rPr>
          <w:lang w:eastAsia="ru-RU"/>
        </w:rPr>
        <w:t xml:space="preserve"> ІІ півріччі 2021 року </w:t>
      </w:r>
      <w:r>
        <w:t>– 35 337 шт.</w:t>
      </w:r>
      <w:r w:rsidR="00985810">
        <w:t xml:space="preserve">, а середній розмір </w:t>
      </w:r>
      <w:bookmarkStart w:id="3" w:name="_GoBack"/>
      <w:r w:rsidR="007D6C7C" w:rsidRPr="002678B2">
        <w:rPr>
          <w:lang w:eastAsia="zh-CN"/>
        </w:rPr>
        <w:t>у</w:t>
      </w:r>
      <w:bookmarkEnd w:id="3"/>
      <w:r w:rsidR="00985810">
        <w:rPr>
          <w:lang w:eastAsia="zh-CN"/>
        </w:rPr>
        <w:t xml:space="preserve">регульованих вимог </w:t>
      </w:r>
      <w:r w:rsidR="00985810" w:rsidRPr="003D7CEB">
        <w:rPr>
          <w:color w:val="000000"/>
          <w:lang w:eastAsia="ru-RU"/>
        </w:rPr>
        <w:t>страхов</w:t>
      </w:r>
      <w:r w:rsidR="00985810">
        <w:rPr>
          <w:color w:val="000000"/>
          <w:lang w:eastAsia="ru-RU"/>
        </w:rPr>
        <w:t>их</w:t>
      </w:r>
      <w:r w:rsidR="00985810" w:rsidRPr="003D7CEB">
        <w:rPr>
          <w:color w:val="000000"/>
          <w:lang w:eastAsia="ru-RU"/>
        </w:rPr>
        <w:t xml:space="preserve"> виплат за шкоду</w:t>
      </w:r>
      <w:r w:rsidR="00985810">
        <w:rPr>
          <w:color w:val="000000"/>
          <w:lang w:eastAsia="ru-RU"/>
        </w:rPr>
        <w:t xml:space="preserve"> майну потерпілих</w:t>
      </w:r>
      <w:r w:rsidR="00985810">
        <w:rPr>
          <w:lang w:eastAsia="zh-CN"/>
        </w:rPr>
        <w:t xml:space="preserve"> становить </w:t>
      </w:r>
      <w:r w:rsidR="00985810">
        <w:t>– 10 350 грн</w:t>
      </w:r>
      <w:r w:rsidR="00985810">
        <w:rPr>
          <w:lang w:eastAsia="zh-CN"/>
        </w:rPr>
        <w:t>.</w:t>
      </w:r>
    </w:p>
    <w:p w14:paraId="637D89E7" w14:textId="789A7F78" w:rsidR="00BD0561" w:rsidRDefault="00BD0561" w:rsidP="0049607C">
      <w:pPr>
        <w:ind w:firstLine="709"/>
        <w:rPr>
          <w:lang w:eastAsia="ru-RU"/>
        </w:rPr>
      </w:pPr>
      <w:r>
        <w:rPr>
          <w:color w:val="000000"/>
        </w:rPr>
        <w:t>Дія акт</w:t>
      </w:r>
      <w:r w:rsidR="001025F9">
        <w:rPr>
          <w:color w:val="000000"/>
        </w:rPr>
        <w:t>а</w:t>
      </w:r>
      <w:r>
        <w:rPr>
          <w:color w:val="000000"/>
        </w:rPr>
        <w:t xml:space="preserve"> </w:t>
      </w:r>
      <w:r w:rsidR="001025F9">
        <w:rPr>
          <w:color w:val="000000"/>
        </w:rPr>
        <w:t>в</w:t>
      </w:r>
      <w:r>
        <w:rPr>
          <w:color w:val="000000"/>
        </w:rPr>
        <w:t xml:space="preserve"> разі його прийняття поширюватиметься на страховиків, які укладають договори обов’язкового страхування цивільно-правової відповідальності власників наземних транспортних засобів, за якими здійснює нагляд Національний банк.</w:t>
      </w:r>
    </w:p>
    <w:p w14:paraId="6220599A" w14:textId="77777777" w:rsidR="00BD0561" w:rsidRDefault="00BD0561" w:rsidP="0049607C">
      <w:pPr>
        <w:ind w:firstLine="709"/>
        <w:rPr>
          <w:bCs/>
          <w:color w:val="000000"/>
          <w:lang w:val="ru-RU"/>
        </w:rPr>
      </w:pPr>
      <w:r>
        <w:rPr>
          <w:bCs/>
          <w:color w:val="000000"/>
        </w:rPr>
        <w:t xml:space="preserve">Якісним показником результативності є виконання суб’єктами господарювання вимог регуляторного акта під час укладання договорів </w:t>
      </w:r>
      <w:r>
        <w:rPr>
          <w:bCs/>
          <w:color w:val="000000"/>
        </w:rPr>
        <w:lastRenderedPageBreak/>
        <w:t>обов’язкового страхування цивільно-правової відповідальності власників наземних транспортних засобів. Висновок щодо цього показника можна буде зробити за результатами застосування його норм на практиці</w:t>
      </w:r>
      <w:r>
        <w:rPr>
          <w:bCs/>
          <w:color w:val="000000"/>
          <w:lang w:val="ru-RU"/>
        </w:rPr>
        <w:t>.</w:t>
      </w:r>
    </w:p>
    <w:p w14:paraId="368755B6" w14:textId="76A23FCD" w:rsidR="00652D49" w:rsidRPr="00652D49" w:rsidRDefault="00652D49" w:rsidP="0049607C">
      <w:pPr>
        <w:ind w:firstLine="709"/>
        <w:rPr>
          <w:bCs/>
          <w:color w:val="000000"/>
          <w:lang w:val="ru-RU"/>
        </w:rPr>
      </w:pPr>
    </w:p>
    <w:p w14:paraId="3C4D5B54" w14:textId="458C57BF" w:rsidR="00346C90" w:rsidRPr="00AE0F1E" w:rsidRDefault="00625A58" w:rsidP="0049607C">
      <w:pPr>
        <w:ind w:firstLine="709"/>
        <w:rPr>
          <w:b/>
          <w:lang w:eastAsia="zh-CN"/>
        </w:rPr>
      </w:pPr>
      <w:r w:rsidRPr="00AE0F1E">
        <w:rPr>
          <w:b/>
          <w:color w:val="000000"/>
        </w:rPr>
        <w:t>ІХ.</w:t>
      </w:r>
      <w:r w:rsidR="00346C90" w:rsidRPr="00AE0F1E">
        <w:rPr>
          <w:b/>
          <w:lang w:eastAsia="zh-CN"/>
        </w:rPr>
        <w:t xml:space="preserve"> Визначення заходів, за допомогою яких відстежуватиметься результативність регуляторного акт</w:t>
      </w:r>
      <w:r w:rsidR="00343A60">
        <w:rPr>
          <w:b/>
          <w:lang w:val="ru-RU" w:eastAsia="zh-CN"/>
        </w:rPr>
        <w:t>а</w:t>
      </w:r>
      <w:r w:rsidR="00346C90" w:rsidRPr="00AE0F1E">
        <w:rPr>
          <w:b/>
          <w:lang w:eastAsia="zh-CN"/>
        </w:rPr>
        <w:t xml:space="preserve"> в разі його прийняття</w:t>
      </w:r>
    </w:p>
    <w:p w14:paraId="666BD344" w14:textId="30074263" w:rsidR="00BD0561" w:rsidRDefault="00BD0561" w:rsidP="0049607C">
      <w:pPr>
        <w:ind w:firstLine="709"/>
      </w:pPr>
      <w:r>
        <w:t>Відповідно до статей 3 та 10 Закону України “Про засади державної регуляторної політики у сфері господарської діяльності” Національний банк проводить базові, повторні та періодичні відстеження результативності власних регуляторних актів з урахуванням Методики відстеження результативності регуляторного акта Національного банку</w:t>
      </w:r>
      <w:r w:rsidR="007D6C7C">
        <w:t xml:space="preserve"> України</w:t>
      </w:r>
      <w:r>
        <w:t>, затвердженої постановою Кабінету Міністрів України і Національного банку України від 14</w:t>
      </w:r>
      <w:r w:rsidR="00F666BE">
        <w:t>.04.</w:t>
      </w:r>
      <w:r>
        <w:t xml:space="preserve">2004 № 471. </w:t>
      </w:r>
    </w:p>
    <w:p w14:paraId="5194B8A9" w14:textId="0E24EC19" w:rsidR="00BD0561" w:rsidRDefault="00BD0561" w:rsidP="0049607C">
      <w:pPr>
        <w:ind w:firstLine="709"/>
      </w:pPr>
      <w:r>
        <w:t>Відстеження результативності регуляторного акта проводити</w:t>
      </w:r>
      <w:r w:rsidR="00FA2327">
        <w:t>меться</w:t>
      </w:r>
      <w:r>
        <w:t xml:space="preserve"> з використанням статистичних даних. Цільові групи осіб для опитування чи наукові установи не залучатимуться для проведення відстеження результативності регуляторного акта. </w:t>
      </w:r>
    </w:p>
    <w:p w14:paraId="517D06E2" w14:textId="77777777" w:rsidR="00BD0561" w:rsidRDefault="00BD0561" w:rsidP="0049607C">
      <w:pPr>
        <w:ind w:firstLine="709"/>
      </w:pPr>
      <w:r>
        <w:t xml:space="preserve">Базове відстеження результативності регуляторного акта здійснюватиметься протягом року з дня набрання чинності цим актом відповідно до частини п’ятої статті 10 Закону України “Про засади державної регуляторної політики у сфері господарської діяльності”, оскільки для відстеження результативності використовуватимуться статистичні дані. </w:t>
      </w:r>
    </w:p>
    <w:p w14:paraId="447DDDA0" w14:textId="5DB58D13" w:rsidR="00BD0561" w:rsidRDefault="00BD0561" w:rsidP="0049607C">
      <w:pPr>
        <w:ind w:firstLine="709"/>
      </w:pPr>
      <w:r>
        <w:t>Повторне відстеження пров</w:t>
      </w:r>
      <w:r w:rsidR="00FA2327">
        <w:t>одитиметься</w:t>
      </w:r>
      <w:r>
        <w:t xml:space="preserve"> не пізніше двох років </w:t>
      </w:r>
      <w:r w:rsidR="00FA2327">
        <w:t>і</w:t>
      </w:r>
      <w:r>
        <w:t xml:space="preserve">з дня набрання чинності регуляторним актом. </w:t>
      </w:r>
    </w:p>
    <w:p w14:paraId="2BAC0E94" w14:textId="77777777" w:rsidR="00BD0561" w:rsidRDefault="00BD0561" w:rsidP="0049607C">
      <w:pPr>
        <w:ind w:firstLine="709"/>
      </w:pPr>
      <w:r>
        <w:t xml:space="preserve">Періодичне відстеження результативності – раз на кожні три роки з дня закінчення заходів із повторного відстеження результативності регуляторного акта. </w:t>
      </w:r>
    </w:p>
    <w:p w14:paraId="02B81A3D" w14:textId="68782688" w:rsidR="00BD0561" w:rsidRDefault="00BD0561" w:rsidP="0049607C">
      <w:pPr>
        <w:ind w:firstLine="709"/>
      </w:pPr>
      <w:r>
        <w:t>Інформування суб’єктів господарювання щодо основних положень регуляторного акта здійснюватиметься шляхом його оприлюднення на сторінці офіційного Інтернет-представництва Національного банку.</w:t>
      </w:r>
    </w:p>
    <w:p w14:paraId="646B2352" w14:textId="77777777" w:rsidR="00BD0561" w:rsidRDefault="00BD0561" w:rsidP="00BD0561">
      <w:pPr>
        <w:ind w:firstLine="686"/>
      </w:pPr>
    </w:p>
    <w:tbl>
      <w:tblPr>
        <w:tblStyle w:val="a9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170"/>
      </w:tblGrid>
      <w:tr w:rsidR="00DD60CC" w:rsidRPr="00DF13F9" w14:paraId="2BAFA9F7" w14:textId="77777777" w:rsidTr="00F13023">
        <w:trPr>
          <w:trHeight w:val="954"/>
        </w:trPr>
        <w:tc>
          <w:tcPr>
            <w:tcW w:w="5331" w:type="dxa"/>
            <w:vAlign w:val="bottom"/>
          </w:tcPr>
          <w:p w14:paraId="656AC6CD" w14:textId="77777777" w:rsidR="00A91B3F" w:rsidRPr="00AE0F1E" w:rsidRDefault="00A91B3F" w:rsidP="00E01688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  <w:rPr>
                <w:rFonts w:eastAsia="SimSun"/>
              </w:rPr>
            </w:pPr>
          </w:p>
          <w:p w14:paraId="2BAFA9F5" w14:textId="58E40DDB" w:rsidR="00DD60CC" w:rsidRPr="00CB4FFB" w:rsidRDefault="00346C90" w:rsidP="002D151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AE0F1E">
              <w:rPr>
                <w:rFonts w:eastAsia="SimSun"/>
              </w:rPr>
              <w:t>Голов</w:t>
            </w:r>
            <w:r w:rsidR="00E84936" w:rsidRPr="00AE0F1E">
              <w:rPr>
                <w:rFonts w:eastAsia="SimSun"/>
              </w:rPr>
              <w:t>а</w:t>
            </w:r>
            <w:r w:rsidR="00625A58" w:rsidRPr="00AE0F1E">
              <w:rPr>
                <w:rFonts w:eastAsia="SimSun"/>
              </w:rPr>
              <w:t xml:space="preserve"> </w:t>
            </w:r>
            <w:r w:rsidR="00144BB2">
              <w:rPr>
                <w:rFonts w:eastAsia="SimSun"/>
              </w:rPr>
              <w:t>Національного банку України</w:t>
            </w:r>
          </w:p>
        </w:tc>
        <w:tc>
          <w:tcPr>
            <w:tcW w:w="4170" w:type="dxa"/>
            <w:vAlign w:val="bottom"/>
          </w:tcPr>
          <w:p w14:paraId="2BAFA9F6" w14:textId="415B0EAE" w:rsidR="00DD60CC" w:rsidRPr="000A459C" w:rsidRDefault="00E84936" w:rsidP="0017282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0"/>
              <w:jc w:val="right"/>
            </w:pPr>
            <w:r w:rsidRPr="00AE0F1E">
              <w:rPr>
                <w:rFonts w:eastAsia="SimSun"/>
              </w:rPr>
              <w:t>Кирило ШЕВЧЕНКО</w:t>
            </w:r>
          </w:p>
        </w:tc>
      </w:tr>
    </w:tbl>
    <w:p w14:paraId="2BAFA9FA" w14:textId="64EA7CCA" w:rsidR="000F1B82" w:rsidRPr="00081158" w:rsidRDefault="000F1B82" w:rsidP="00D232AB">
      <w:pPr>
        <w:jc w:val="left"/>
      </w:pPr>
    </w:p>
    <w:sectPr w:rsidR="000F1B82" w:rsidRPr="00081158" w:rsidSect="0049607C">
      <w:headerReference w:type="default" r:id="rId12"/>
      <w:pgSz w:w="11906" w:h="16838" w:code="9"/>
      <w:pgMar w:top="1276" w:right="849" w:bottom="241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F618A" w14:textId="77777777" w:rsidR="00466C48" w:rsidRDefault="00466C48" w:rsidP="00E53CCD">
      <w:r>
        <w:separator/>
      </w:r>
    </w:p>
  </w:endnote>
  <w:endnote w:type="continuationSeparator" w:id="0">
    <w:p w14:paraId="1E857A58" w14:textId="77777777" w:rsidR="00466C48" w:rsidRDefault="00466C48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8496" w14:textId="77777777" w:rsidR="00466C48" w:rsidRDefault="00466C48" w:rsidP="00E53CCD">
      <w:r>
        <w:separator/>
      </w:r>
    </w:p>
  </w:footnote>
  <w:footnote w:type="continuationSeparator" w:id="0">
    <w:p w14:paraId="2F13299F" w14:textId="77777777" w:rsidR="00466C48" w:rsidRDefault="00466C48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2713"/>
      <w:docPartObj>
        <w:docPartGallery w:val="Page Numbers (Top of Page)"/>
        <w:docPartUnique/>
      </w:docPartObj>
    </w:sdtPr>
    <w:sdtEndPr/>
    <w:sdtContent>
      <w:p w14:paraId="2BAFAA00" w14:textId="0AAADA35" w:rsidR="000F1B82" w:rsidRDefault="00C76DC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8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AFAA01" w14:textId="77777777" w:rsidR="000F1B82" w:rsidRDefault="000F1B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980"/>
    <w:multiLevelType w:val="hybridMultilevel"/>
    <w:tmpl w:val="951496E4"/>
    <w:lvl w:ilvl="0" w:tplc="CBEEE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17B14"/>
    <w:multiLevelType w:val="hybridMultilevel"/>
    <w:tmpl w:val="62B66CBE"/>
    <w:lvl w:ilvl="0" w:tplc="70F83D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E42C2"/>
    <w:multiLevelType w:val="hybridMultilevel"/>
    <w:tmpl w:val="9CA4DC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70"/>
    <w:multiLevelType w:val="hybridMultilevel"/>
    <w:tmpl w:val="0E064B5E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39745796"/>
    <w:multiLevelType w:val="hybridMultilevel"/>
    <w:tmpl w:val="D44AD2D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572533"/>
    <w:multiLevelType w:val="hybridMultilevel"/>
    <w:tmpl w:val="5AC0F576"/>
    <w:lvl w:ilvl="0" w:tplc="C212CED4">
      <w:start w:val="1"/>
      <w:numFmt w:val="decimal"/>
      <w:lvlText w:val="%1)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3C"/>
    <w:rsid w:val="00000649"/>
    <w:rsid w:val="000021C4"/>
    <w:rsid w:val="00004FC7"/>
    <w:rsid w:val="000064FA"/>
    <w:rsid w:val="00011790"/>
    <w:rsid w:val="00015FDE"/>
    <w:rsid w:val="00021999"/>
    <w:rsid w:val="00031F9C"/>
    <w:rsid w:val="000342A5"/>
    <w:rsid w:val="0003793C"/>
    <w:rsid w:val="000543C6"/>
    <w:rsid w:val="000618C2"/>
    <w:rsid w:val="00063480"/>
    <w:rsid w:val="00081158"/>
    <w:rsid w:val="000829C1"/>
    <w:rsid w:val="000908E3"/>
    <w:rsid w:val="000A1E38"/>
    <w:rsid w:val="000A2CD2"/>
    <w:rsid w:val="000A459C"/>
    <w:rsid w:val="000A4677"/>
    <w:rsid w:val="000A514B"/>
    <w:rsid w:val="000A6D6B"/>
    <w:rsid w:val="000B2990"/>
    <w:rsid w:val="000B51B6"/>
    <w:rsid w:val="000C06AF"/>
    <w:rsid w:val="000C242C"/>
    <w:rsid w:val="000C6E31"/>
    <w:rsid w:val="000D738C"/>
    <w:rsid w:val="000F1B82"/>
    <w:rsid w:val="000F6E29"/>
    <w:rsid w:val="001025F9"/>
    <w:rsid w:val="001213AB"/>
    <w:rsid w:val="00125891"/>
    <w:rsid w:val="00131319"/>
    <w:rsid w:val="00132796"/>
    <w:rsid w:val="001328A6"/>
    <w:rsid w:val="00144ACF"/>
    <w:rsid w:val="00144BB2"/>
    <w:rsid w:val="00147E47"/>
    <w:rsid w:val="00155D9D"/>
    <w:rsid w:val="001617E5"/>
    <w:rsid w:val="00161B3C"/>
    <w:rsid w:val="00166FE7"/>
    <w:rsid w:val="00172829"/>
    <w:rsid w:val="001740C0"/>
    <w:rsid w:val="001744AA"/>
    <w:rsid w:val="00190268"/>
    <w:rsid w:val="00190E1A"/>
    <w:rsid w:val="00191348"/>
    <w:rsid w:val="001930AA"/>
    <w:rsid w:val="001962D0"/>
    <w:rsid w:val="001A16FA"/>
    <w:rsid w:val="001A3C01"/>
    <w:rsid w:val="001A3D6D"/>
    <w:rsid w:val="001A52EC"/>
    <w:rsid w:val="001C0556"/>
    <w:rsid w:val="001D487A"/>
    <w:rsid w:val="001E65A8"/>
    <w:rsid w:val="001F2FFA"/>
    <w:rsid w:val="001F5F44"/>
    <w:rsid w:val="002023F4"/>
    <w:rsid w:val="002367AB"/>
    <w:rsid w:val="00241373"/>
    <w:rsid w:val="00252E45"/>
    <w:rsid w:val="00253BF9"/>
    <w:rsid w:val="002566B7"/>
    <w:rsid w:val="00261C51"/>
    <w:rsid w:val="00264983"/>
    <w:rsid w:val="00266678"/>
    <w:rsid w:val="002678B2"/>
    <w:rsid w:val="00270B4E"/>
    <w:rsid w:val="00271FCC"/>
    <w:rsid w:val="00273765"/>
    <w:rsid w:val="00276496"/>
    <w:rsid w:val="00277BB1"/>
    <w:rsid w:val="00280DE5"/>
    <w:rsid w:val="00283C8B"/>
    <w:rsid w:val="002A05A7"/>
    <w:rsid w:val="002A6DFB"/>
    <w:rsid w:val="002D151B"/>
    <w:rsid w:val="002D1790"/>
    <w:rsid w:val="002D5293"/>
    <w:rsid w:val="002D7544"/>
    <w:rsid w:val="002D775B"/>
    <w:rsid w:val="003105A0"/>
    <w:rsid w:val="003207FB"/>
    <w:rsid w:val="003260A0"/>
    <w:rsid w:val="00326161"/>
    <w:rsid w:val="00332CCD"/>
    <w:rsid w:val="00332E8C"/>
    <w:rsid w:val="00343A60"/>
    <w:rsid w:val="00346C90"/>
    <w:rsid w:val="00347D6F"/>
    <w:rsid w:val="00356E34"/>
    <w:rsid w:val="00357676"/>
    <w:rsid w:val="00370B27"/>
    <w:rsid w:val="0038254F"/>
    <w:rsid w:val="0038385E"/>
    <w:rsid w:val="003858BD"/>
    <w:rsid w:val="00393EED"/>
    <w:rsid w:val="0039725C"/>
    <w:rsid w:val="003A2800"/>
    <w:rsid w:val="003A5C6C"/>
    <w:rsid w:val="003A751F"/>
    <w:rsid w:val="003C3282"/>
    <w:rsid w:val="003C35A1"/>
    <w:rsid w:val="003C3985"/>
    <w:rsid w:val="003D24A2"/>
    <w:rsid w:val="003D7CEB"/>
    <w:rsid w:val="003E0715"/>
    <w:rsid w:val="003E7FC3"/>
    <w:rsid w:val="003F1CC3"/>
    <w:rsid w:val="00401EDB"/>
    <w:rsid w:val="004044E8"/>
    <w:rsid w:val="00404C93"/>
    <w:rsid w:val="0040550B"/>
    <w:rsid w:val="00407877"/>
    <w:rsid w:val="00446DE7"/>
    <w:rsid w:val="004541DA"/>
    <w:rsid w:val="00455B45"/>
    <w:rsid w:val="00466C48"/>
    <w:rsid w:val="00470243"/>
    <w:rsid w:val="00473763"/>
    <w:rsid w:val="00474644"/>
    <w:rsid w:val="00490937"/>
    <w:rsid w:val="0049607C"/>
    <w:rsid w:val="004969B2"/>
    <w:rsid w:val="0049787B"/>
    <w:rsid w:val="004A23F5"/>
    <w:rsid w:val="004A62FE"/>
    <w:rsid w:val="004A7F75"/>
    <w:rsid w:val="004B1FE9"/>
    <w:rsid w:val="004B3013"/>
    <w:rsid w:val="004B6CAD"/>
    <w:rsid w:val="004C0D46"/>
    <w:rsid w:val="004C37D1"/>
    <w:rsid w:val="004C7EE6"/>
    <w:rsid w:val="004D1212"/>
    <w:rsid w:val="004E1C7D"/>
    <w:rsid w:val="004E1DF9"/>
    <w:rsid w:val="004E22E2"/>
    <w:rsid w:val="004E5BCA"/>
    <w:rsid w:val="004F33C1"/>
    <w:rsid w:val="004F40D3"/>
    <w:rsid w:val="00512761"/>
    <w:rsid w:val="0051285D"/>
    <w:rsid w:val="00513471"/>
    <w:rsid w:val="00515F33"/>
    <w:rsid w:val="00523287"/>
    <w:rsid w:val="00523C13"/>
    <w:rsid w:val="005257C2"/>
    <w:rsid w:val="00531DD6"/>
    <w:rsid w:val="00542533"/>
    <w:rsid w:val="005624B6"/>
    <w:rsid w:val="00570296"/>
    <w:rsid w:val="0057237F"/>
    <w:rsid w:val="00572433"/>
    <w:rsid w:val="00572CC6"/>
    <w:rsid w:val="00574496"/>
    <w:rsid w:val="005755EF"/>
    <w:rsid w:val="00577402"/>
    <w:rsid w:val="00580A44"/>
    <w:rsid w:val="00583CC7"/>
    <w:rsid w:val="00584980"/>
    <w:rsid w:val="00594175"/>
    <w:rsid w:val="005A0F4B"/>
    <w:rsid w:val="005A1D3C"/>
    <w:rsid w:val="005A3F0D"/>
    <w:rsid w:val="005A3F34"/>
    <w:rsid w:val="005B2D03"/>
    <w:rsid w:val="005B43F2"/>
    <w:rsid w:val="005B64E5"/>
    <w:rsid w:val="005B7C23"/>
    <w:rsid w:val="005C1CD4"/>
    <w:rsid w:val="005C5CBF"/>
    <w:rsid w:val="005C659A"/>
    <w:rsid w:val="005D3397"/>
    <w:rsid w:val="005E1D71"/>
    <w:rsid w:val="005E2325"/>
    <w:rsid w:val="005E3FA8"/>
    <w:rsid w:val="005F3B05"/>
    <w:rsid w:val="0060676E"/>
    <w:rsid w:val="00625A58"/>
    <w:rsid w:val="00635332"/>
    <w:rsid w:val="00640612"/>
    <w:rsid w:val="0064227D"/>
    <w:rsid w:val="00652D49"/>
    <w:rsid w:val="00655F4A"/>
    <w:rsid w:val="00655FE9"/>
    <w:rsid w:val="00656E13"/>
    <w:rsid w:val="00666367"/>
    <w:rsid w:val="00670C95"/>
    <w:rsid w:val="00675421"/>
    <w:rsid w:val="00677413"/>
    <w:rsid w:val="00684410"/>
    <w:rsid w:val="00684D7F"/>
    <w:rsid w:val="00692105"/>
    <w:rsid w:val="006925CE"/>
    <w:rsid w:val="006A29F0"/>
    <w:rsid w:val="006A766D"/>
    <w:rsid w:val="006B2748"/>
    <w:rsid w:val="006B3C1C"/>
    <w:rsid w:val="006B4D7D"/>
    <w:rsid w:val="006C4176"/>
    <w:rsid w:val="006C66EF"/>
    <w:rsid w:val="006D2617"/>
    <w:rsid w:val="006E35D3"/>
    <w:rsid w:val="006F35A9"/>
    <w:rsid w:val="00713BA9"/>
    <w:rsid w:val="00715770"/>
    <w:rsid w:val="0071789F"/>
    <w:rsid w:val="00731146"/>
    <w:rsid w:val="00732AFE"/>
    <w:rsid w:val="00744EED"/>
    <w:rsid w:val="00754D11"/>
    <w:rsid w:val="007576F6"/>
    <w:rsid w:val="00764255"/>
    <w:rsid w:val="00767B9D"/>
    <w:rsid w:val="007764A7"/>
    <w:rsid w:val="0078127A"/>
    <w:rsid w:val="00783AF2"/>
    <w:rsid w:val="0078475F"/>
    <w:rsid w:val="00790946"/>
    <w:rsid w:val="00793DA6"/>
    <w:rsid w:val="007A6609"/>
    <w:rsid w:val="007B4862"/>
    <w:rsid w:val="007C2AAA"/>
    <w:rsid w:val="007C2CED"/>
    <w:rsid w:val="007D3575"/>
    <w:rsid w:val="007D6C7C"/>
    <w:rsid w:val="007E6789"/>
    <w:rsid w:val="007F54B6"/>
    <w:rsid w:val="007F6382"/>
    <w:rsid w:val="00802988"/>
    <w:rsid w:val="008062EA"/>
    <w:rsid w:val="00807BDE"/>
    <w:rsid w:val="008160BB"/>
    <w:rsid w:val="008203E7"/>
    <w:rsid w:val="00827868"/>
    <w:rsid w:val="00834296"/>
    <w:rsid w:val="00834E7A"/>
    <w:rsid w:val="00847596"/>
    <w:rsid w:val="00860E40"/>
    <w:rsid w:val="00866993"/>
    <w:rsid w:val="00874366"/>
    <w:rsid w:val="008752BE"/>
    <w:rsid w:val="008762D8"/>
    <w:rsid w:val="00883194"/>
    <w:rsid w:val="0088735B"/>
    <w:rsid w:val="0089055B"/>
    <w:rsid w:val="00891FC0"/>
    <w:rsid w:val="008A140C"/>
    <w:rsid w:val="008B492C"/>
    <w:rsid w:val="008B6633"/>
    <w:rsid w:val="008C78ED"/>
    <w:rsid w:val="008D10FD"/>
    <w:rsid w:val="008D122F"/>
    <w:rsid w:val="008D16BD"/>
    <w:rsid w:val="008D6CD0"/>
    <w:rsid w:val="008F0210"/>
    <w:rsid w:val="008F5D52"/>
    <w:rsid w:val="008F7D2A"/>
    <w:rsid w:val="00900F4F"/>
    <w:rsid w:val="00904F17"/>
    <w:rsid w:val="00922966"/>
    <w:rsid w:val="00937AE3"/>
    <w:rsid w:val="009401D4"/>
    <w:rsid w:val="00943175"/>
    <w:rsid w:val="00947ECD"/>
    <w:rsid w:val="00951171"/>
    <w:rsid w:val="00962333"/>
    <w:rsid w:val="00964C8D"/>
    <w:rsid w:val="0097288F"/>
    <w:rsid w:val="009812EC"/>
    <w:rsid w:val="0098207E"/>
    <w:rsid w:val="00985810"/>
    <w:rsid w:val="00995E11"/>
    <w:rsid w:val="009A1CFF"/>
    <w:rsid w:val="009A5936"/>
    <w:rsid w:val="009B6120"/>
    <w:rsid w:val="009C2F76"/>
    <w:rsid w:val="009D531C"/>
    <w:rsid w:val="009D6050"/>
    <w:rsid w:val="009E72C1"/>
    <w:rsid w:val="009F242A"/>
    <w:rsid w:val="009F2C2E"/>
    <w:rsid w:val="009F3962"/>
    <w:rsid w:val="009F43A9"/>
    <w:rsid w:val="009F5312"/>
    <w:rsid w:val="00A0594A"/>
    <w:rsid w:val="00A074A5"/>
    <w:rsid w:val="00A12C47"/>
    <w:rsid w:val="00A16E83"/>
    <w:rsid w:val="00A2398B"/>
    <w:rsid w:val="00A23E04"/>
    <w:rsid w:val="00A25A1A"/>
    <w:rsid w:val="00A40855"/>
    <w:rsid w:val="00A457E7"/>
    <w:rsid w:val="00A50DC0"/>
    <w:rsid w:val="00A643A4"/>
    <w:rsid w:val="00A64578"/>
    <w:rsid w:val="00A717FE"/>
    <w:rsid w:val="00A72F06"/>
    <w:rsid w:val="00A730F2"/>
    <w:rsid w:val="00A77FFD"/>
    <w:rsid w:val="00A806FC"/>
    <w:rsid w:val="00A86EAF"/>
    <w:rsid w:val="00A91B3F"/>
    <w:rsid w:val="00A95B59"/>
    <w:rsid w:val="00AA06CC"/>
    <w:rsid w:val="00AA4696"/>
    <w:rsid w:val="00AB4554"/>
    <w:rsid w:val="00AC200A"/>
    <w:rsid w:val="00AC47B6"/>
    <w:rsid w:val="00AE0F1E"/>
    <w:rsid w:val="00AE2CAF"/>
    <w:rsid w:val="00AE7134"/>
    <w:rsid w:val="00AF5000"/>
    <w:rsid w:val="00B07C1E"/>
    <w:rsid w:val="00B332B2"/>
    <w:rsid w:val="00B35910"/>
    <w:rsid w:val="00B36EC7"/>
    <w:rsid w:val="00B52383"/>
    <w:rsid w:val="00B5684F"/>
    <w:rsid w:val="00B664EC"/>
    <w:rsid w:val="00B75584"/>
    <w:rsid w:val="00B75FC3"/>
    <w:rsid w:val="00B8078D"/>
    <w:rsid w:val="00B8657A"/>
    <w:rsid w:val="00BA3E48"/>
    <w:rsid w:val="00BB6642"/>
    <w:rsid w:val="00BC402D"/>
    <w:rsid w:val="00BD0561"/>
    <w:rsid w:val="00BE32D5"/>
    <w:rsid w:val="00BF0D32"/>
    <w:rsid w:val="00BF47AC"/>
    <w:rsid w:val="00BF6991"/>
    <w:rsid w:val="00BF7DDD"/>
    <w:rsid w:val="00C03593"/>
    <w:rsid w:val="00C21D33"/>
    <w:rsid w:val="00C23208"/>
    <w:rsid w:val="00C23A00"/>
    <w:rsid w:val="00C24D5C"/>
    <w:rsid w:val="00C31107"/>
    <w:rsid w:val="00C4377C"/>
    <w:rsid w:val="00C47F0F"/>
    <w:rsid w:val="00C746EA"/>
    <w:rsid w:val="00C74E30"/>
    <w:rsid w:val="00C75865"/>
    <w:rsid w:val="00C76DC0"/>
    <w:rsid w:val="00C82259"/>
    <w:rsid w:val="00C84BBD"/>
    <w:rsid w:val="00C8639B"/>
    <w:rsid w:val="00CA187D"/>
    <w:rsid w:val="00CA54D9"/>
    <w:rsid w:val="00CA596E"/>
    <w:rsid w:val="00CA778D"/>
    <w:rsid w:val="00CB0A99"/>
    <w:rsid w:val="00CB4FFB"/>
    <w:rsid w:val="00CC303D"/>
    <w:rsid w:val="00CC4DE0"/>
    <w:rsid w:val="00CD7842"/>
    <w:rsid w:val="00CE13E8"/>
    <w:rsid w:val="00CE3B9F"/>
    <w:rsid w:val="00CE5168"/>
    <w:rsid w:val="00CE6FCF"/>
    <w:rsid w:val="00D010F7"/>
    <w:rsid w:val="00D108A9"/>
    <w:rsid w:val="00D11CCA"/>
    <w:rsid w:val="00D20BF5"/>
    <w:rsid w:val="00D232AB"/>
    <w:rsid w:val="00D26209"/>
    <w:rsid w:val="00D34DCC"/>
    <w:rsid w:val="00D35C09"/>
    <w:rsid w:val="00D45AED"/>
    <w:rsid w:val="00D4657A"/>
    <w:rsid w:val="00D54BFD"/>
    <w:rsid w:val="00D86D5F"/>
    <w:rsid w:val="00DA273B"/>
    <w:rsid w:val="00DC1E60"/>
    <w:rsid w:val="00DC28E7"/>
    <w:rsid w:val="00DC6622"/>
    <w:rsid w:val="00DC6E91"/>
    <w:rsid w:val="00DD60CC"/>
    <w:rsid w:val="00DE59DA"/>
    <w:rsid w:val="00DF13F9"/>
    <w:rsid w:val="00E01688"/>
    <w:rsid w:val="00E11C93"/>
    <w:rsid w:val="00E14419"/>
    <w:rsid w:val="00E166C3"/>
    <w:rsid w:val="00E20E4F"/>
    <w:rsid w:val="00E22ECA"/>
    <w:rsid w:val="00E24944"/>
    <w:rsid w:val="00E25374"/>
    <w:rsid w:val="00E27437"/>
    <w:rsid w:val="00E32CE3"/>
    <w:rsid w:val="00E33B0E"/>
    <w:rsid w:val="00E44425"/>
    <w:rsid w:val="00E53CB5"/>
    <w:rsid w:val="00E53CCD"/>
    <w:rsid w:val="00E5600E"/>
    <w:rsid w:val="00E5609F"/>
    <w:rsid w:val="00E56258"/>
    <w:rsid w:val="00E70BA5"/>
    <w:rsid w:val="00E71855"/>
    <w:rsid w:val="00E719A9"/>
    <w:rsid w:val="00E84936"/>
    <w:rsid w:val="00E85551"/>
    <w:rsid w:val="00E85B84"/>
    <w:rsid w:val="00EA1DE4"/>
    <w:rsid w:val="00EA60EA"/>
    <w:rsid w:val="00EA66E9"/>
    <w:rsid w:val="00EB2008"/>
    <w:rsid w:val="00EB29BF"/>
    <w:rsid w:val="00EB6724"/>
    <w:rsid w:val="00ED31E8"/>
    <w:rsid w:val="00ED3C69"/>
    <w:rsid w:val="00EE3193"/>
    <w:rsid w:val="00EE4072"/>
    <w:rsid w:val="00EE6818"/>
    <w:rsid w:val="00EF3F15"/>
    <w:rsid w:val="00EF531F"/>
    <w:rsid w:val="00F003D3"/>
    <w:rsid w:val="00F02422"/>
    <w:rsid w:val="00F03E32"/>
    <w:rsid w:val="00F04A39"/>
    <w:rsid w:val="00F10781"/>
    <w:rsid w:val="00F10DCF"/>
    <w:rsid w:val="00F13023"/>
    <w:rsid w:val="00F24E4E"/>
    <w:rsid w:val="00F42E75"/>
    <w:rsid w:val="00F508A7"/>
    <w:rsid w:val="00F517FA"/>
    <w:rsid w:val="00F52D16"/>
    <w:rsid w:val="00F6059F"/>
    <w:rsid w:val="00F618D5"/>
    <w:rsid w:val="00F63BD9"/>
    <w:rsid w:val="00F666BE"/>
    <w:rsid w:val="00F6694C"/>
    <w:rsid w:val="00F776EC"/>
    <w:rsid w:val="00F8145F"/>
    <w:rsid w:val="00F9190A"/>
    <w:rsid w:val="00F96F18"/>
    <w:rsid w:val="00FA2327"/>
    <w:rsid w:val="00FA248E"/>
    <w:rsid w:val="00FA6374"/>
    <w:rsid w:val="00FB7891"/>
    <w:rsid w:val="00FD33DF"/>
    <w:rsid w:val="00FD635E"/>
    <w:rsid w:val="00FE0D78"/>
    <w:rsid w:val="00FE1FE0"/>
    <w:rsid w:val="00FF076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FA9DD"/>
  <w15:docId w15:val="{C504A45B-31DA-4F93-827C-565B712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E2494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E24944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E24944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24944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E24944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675421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675421"/>
    <w:rPr>
      <w:rFonts w:ascii="Consolas" w:hAnsi="Consolas" w:cs="Times New Roman"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3105A0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qFormat/>
    <w:rsid w:val="00A16E83"/>
    <w:pPr>
      <w:spacing w:before="100" w:beforeAutospacing="1" w:after="100" w:afterAutospacing="1"/>
      <w:jc w:val="left"/>
    </w:pPr>
    <w:rPr>
      <w:szCs w:val="24"/>
    </w:rPr>
  </w:style>
  <w:style w:type="character" w:customStyle="1" w:styleId="rvts9">
    <w:name w:val="rvts9"/>
    <w:basedOn w:val="a0"/>
    <w:rsid w:val="001C0556"/>
  </w:style>
  <w:style w:type="paragraph" w:styleId="afa">
    <w:name w:val="Normal (Web)"/>
    <w:basedOn w:val="a"/>
    <w:uiPriority w:val="99"/>
    <w:semiHidden/>
    <w:unhideWhenUsed/>
    <w:rsid w:val="00166FE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fb">
    <w:name w:val="Body Text Indent"/>
    <w:basedOn w:val="a"/>
    <w:link w:val="afc"/>
    <w:rsid w:val="001A3C01"/>
    <w:pPr>
      <w:ind w:firstLine="720"/>
    </w:pPr>
    <w:rPr>
      <w:szCs w:val="20"/>
      <w:lang w:eastAsia="en-US"/>
    </w:rPr>
  </w:style>
  <w:style w:type="character" w:customStyle="1" w:styleId="afc">
    <w:name w:val="Основний текст з відступом Знак"/>
    <w:basedOn w:val="a0"/>
    <w:link w:val="afb"/>
    <w:rsid w:val="001A3C01"/>
    <w:rPr>
      <w:rFonts w:ascii="Times New Roman" w:hAnsi="Times New Roman" w:cs="Times New Roman"/>
      <w:sz w:val="28"/>
      <w:szCs w:val="20"/>
    </w:rPr>
  </w:style>
  <w:style w:type="character" w:styleId="afd">
    <w:name w:val="Hyperlink"/>
    <w:basedOn w:val="a0"/>
    <w:uiPriority w:val="99"/>
    <w:unhideWhenUsed/>
    <w:rsid w:val="0047376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93DA6"/>
    <w:rPr>
      <w:color w:val="605E5C"/>
      <w:shd w:val="clear" w:color="auto" w:fill="E1DFDD"/>
    </w:rPr>
  </w:style>
  <w:style w:type="paragraph" w:styleId="afe">
    <w:name w:val="endnote text"/>
    <w:basedOn w:val="a"/>
    <w:link w:val="aff"/>
    <w:uiPriority w:val="99"/>
    <w:semiHidden/>
    <w:unhideWhenUsed/>
    <w:rsid w:val="00793DA6"/>
    <w:rPr>
      <w:sz w:val="20"/>
      <w:szCs w:val="20"/>
    </w:rPr>
  </w:style>
  <w:style w:type="character" w:customStyle="1" w:styleId="aff">
    <w:name w:val="Текст кінцевої виноски Знак"/>
    <w:basedOn w:val="a0"/>
    <w:link w:val="afe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0">
    <w:name w:val="endnote reference"/>
    <w:basedOn w:val="a0"/>
    <w:uiPriority w:val="99"/>
    <w:semiHidden/>
    <w:unhideWhenUsed/>
    <w:rsid w:val="00793DA6"/>
    <w:rPr>
      <w:vertAlign w:val="superscript"/>
    </w:rPr>
  </w:style>
  <w:style w:type="paragraph" w:styleId="aff1">
    <w:name w:val="footnote text"/>
    <w:basedOn w:val="a"/>
    <w:link w:val="aff2"/>
    <w:uiPriority w:val="99"/>
    <w:semiHidden/>
    <w:unhideWhenUsed/>
    <w:rsid w:val="00793DA6"/>
    <w:rPr>
      <w:sz w:val="20"/>
      <w:szCs w:val="20"/>
    </w:rPr>
  </w:style>
  <w:style w:type="character" w:customStyle="1" w:styleId="aff2">
    <w:name w:val="Текст виноски Знак"/>
    <w:basedOn w:val="a0"/>
    <w:link w:val="aff1"/>
    <w:uiPriority w:val="99"/>
    <w:semiHidden/>
    <w:rsid w:val="00793DA6"/>
    <w:rPr>
      <w:rFonts w:ascii="Times New Roman" w:hAnsi="Times New Roman" w:cs="Times New Roman"/>
      <w:sz w:val="20"/>
      <w:szCs w:val="20"/>
      <w:lang w:eastAsia="uk-UA"/>
    </w:rPr>
  </w:style>
  <w:style w:type="character" w:styleId="aff3">
    <w:name w:val="footnote reference"/>
    <w:basedOn w:val="a0"/>
    <w:uiPriority w:val="99"/>
    <w:semiHidden/>
    <w:unhideWhenUsed/>
    <w:rsid w:val="00793DA6"/>
    <w:rPr>
      <w:vertAlign w:val="superscript"/>
    </w:rPr>
  </w:style>
  <w:style w:type="paragraph" w:styleId="aff4">
    <w:name w:val="Body Text"/>
    <w:basedOn w:val="a"/>
    <w:link w:val="aff5"/>
    <w:rsid w:val="009F43A9"/>
    <w:pPr>
      <w:spacing w:after="120"/>
      <w:jc w:val="left"/>
    </w:pPr>
    <w:rPr>
      <w:sz w:val="24"/>
      <w:szCs w:val="24"/>
      <w:lang w:val="ru-RU" w:eastAsia="ru-RU"/>
    </w:rPr>
  </w:style>
  <w:style w:type="character" w:customStyle="1" w:styleId="aff5">
    <w:name w:val="Основний текст Знак"/>
    <w:basedOn w:val="a0"/>
    <w:link w:val="aff4"/>
    <w:rsid w:val="009F43A9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EB880-67D4-4CE3-B704-DC2541281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43A68-002A-4758-B51F-D264F5A46B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E70EFF-9C99-43D7-A142-D779FB52B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5421340-9A51-47D6-A3F3-25B54B15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8495</Words>
  <Characters>4843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Баранова Олена Володимирівна</cp:lastModifiedBy>
  <cp:revision>3</cp:revision>
  <cp:lastPrinted>2016-05-24T11:03:00Z</cp:lastPrinted>
  <dcterms:created xsi:type="dcterms:W3CDTF">2021-10-20T14:06:00Z</dcterms:created>
  <dcterms:modified xsi:type="dcterms:W3CDTF">2021-10-20T14:14:00Z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