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79F3" w14:textId="77777777" w:rsidR="00B5684F" w:rsidRPr="004B6152" w:rsidRDefault="00291584" w:rsidP="00ED31E8">
      <w:pPr>
        <w:ind w:firstLine="709"/>
        <w:jc w:val="right"/>
        <w:rPr>
          <w:rFonts w:eastAsiaTheme="minorEastAsia"/>
          <w:sz w:val="2"/>
          <w:szCs w:val="2"/>
          <w:lang w:eastAsia="en-US"/>
        </w:rPr>
      </w:pPr>
      <w:bookmarkStart w:id="0" w:name="_GoBack"/>
      <w:bookmarkEnd w:id="0"/>
      <w:r w:rsidRPr="004B6152">
        <w:rPr>
          <w:rFonts w:eastAsiaTheme="minorEastAsia"/>
          <w:sz w:val="2"/>
          <w:szCs w:val="2"/>
          <w:lang w:eastAsia="en-US"/>
        </w:rPr>
        <w:t>‘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DA6F43" w14:paraId="06B49C9A" w14:textId="77777777" w:rsidTr="00BE32D5">
        <w:trPr>
          <w:trHeight w:val="1528"/>
        </w:trPr>
        <w:tc>
          <w:tcPr>
            <w:tcW w:w="9356" w:type="dxa"/>
          </w:tcPr>
          <w:p w14:paraId="03712E8E" w14:textId="77B68A88" w:rsidR="008D6CD0" w:rsidRPr="001928B7" w:rsidRDefault="008D6CD0" w:rsidP="008D6CD0">
            <w:pPr>
              <w:jc w:val="center"/>
              <w:rPr>
                <w:b/>
                <w:lang w:val="ru-RU"/>
              </w:rPr>
            </w:pPr>
            <w:r w:rsidRPr="00DA6F43">
              <w:rPr>
                <w:b/>
              </w:rPr>
              <w:t>Аналіз регуляторного впливу</w:t>
            </w:r>
          </w:p>
          <w:p w14:paraId="2813B7CF" w14:textId="77777777" w:rsidR="008D6CD0" w:rsidRPr="00DA6F43" w:rsidRDefault="008D6CD0" w:rsidP="008D6CD0">
            <w:pPr>
              <w:jc w:val="center"/>
              <w:rPr>
                <w:b/>
              </w:rPr>
            </w:pPr>
            <w:proofErr w:type="spellStart"/>
            <w:r w:rsidRPr="00DA6F43">
              <w:rPr>
                <w:b/>
              </w:rPr>
              <w:t>проєкту</w:t>
            </w:r>
            <w:proofErr w:type="spellEnd"/>
            <w:r w:rsidRPr="00DA6F43">
              <w:rPr>
                <w:b/>
              </w:rPr>
              <w:t xml:space="preserve"> постанови Правління Національного банку України </w:t>
            </w:r>
          </w:p>
          <w:p w14:paraId="177F38D9" w14:textId="0D6D7782" w:rsidR="00346C90" w:rsidRPr="00DA6F43" w:rsidRDefault="008D6CD0" w:rsidP="00265F33">
            <w:pPr>
              <w:ind w:right="41"/>
              <w:jc w:val="center"/>
              <w:rPr>
                <w:b/>
                <w:lang w:eastAsia="zh-CN"/>
              </w:rPr>
            </w:pPr>
            <w:r w:rsidRPr="00DA6F43">
              <w:rPr>
                <w:b/>
              </w:rPr>
              <w:t>“</w:t>
            </w:r>
            <w:r w:rsidR="00A34F57" w:rsidRPr="00DA6F43">
              <w:rPr>
                <w:b/>
              </w:rPr>
              <w:t xml:space="preserve">Про затвердження </w:t>
            </w:r>
            <w:r w:rsidR="00F15AAB" w:rsidRPr="00DA6F43">
              <w:rPr>
                <w:rFonts w:eastAsiaTheme="minorEastAsia"/>
                <w:b/>
              </w:rPr>
              <w:t xml:space="preserve">Положення про </w:t>
            </w:r>
            <w:r w:rsidR="00F15AAB" w:rsidRPr="00DA6F43">
              <w:rPr>
                <w:b/>
              </w:rPr>
              <w:t xml:space="preserve">порядок обліку </w:t>
            </w:r>
            <w:r w:rsidR="00621361" w:rsidRPr="00621361">
              <w:rPr>
                <w:b/>
              </w:rPr>
              <w:t xml:space="preserve">страховиком договорів, пов’язаних </w:t>
            </w:r>
            <w:r w:rsidR="002C3EED">
              <w:rPr>
                <w:b/>
              </w:rPr>
              <w:t xml:space="preserve">зі здійсненням діяльності </w:t>
            </w:r>
            <w:r w:rsidR="00621361" w:rsidRPr="00621361">
              <w:rPr>
                <w:b/>
              </w:rPr>
              <w:t>і</w:t>
            </w:r>
            <w:r w:rsidR="002C3EED">
              <w:rPr>
                <w:b/>
              </w:rPr>
              <w:t>з</w:t>
            </w:r>
            <w:r w:rsidR="00621361" w:rsidRPr="00621361">
              <w:rPr>
                <w:b/>
              </w:rPr>
              <w:t xml:space="preserve"> страхування, та вимог до захисту інформації страховика</w:t>
            </w:r>
            <w:r w:rsidRPr="00DA6F43">
              <w:rPr>
                <w:b/>
              </w:rPr>
              <w:t>”</w:t>
            </w:r>
          </w:p>
        </w:tc>
      </w:tr>
    </w:tbl>
    <w:p w14:paraId="59E86329" w14:textId="77777777" w:rsidR="00BE32D5" w:rsidRPr="00DA6F43" w:rsidRDefault="00BE32D5" w:rsidP="00655F4A">
      <w:pPr>
        <w:widowControl w:val="0"/>
        <w:ind w:firstLine="686"/>
        <w:rPr>
          <w:b/>
          <w:lang w:eastAsia="zh-CN"/>
        </w:rPr>
      </w:pPr>
    </w:p>
    <w:p w14:paraId="433103F8" w14:textId="269DF0AD" w:rsidR="00346C90" w:rsidRPr="00DA6F43" w:rsidRDefault="00346C90" w:rsidP="00C34681">
      <w:pPr>
        <w:pStyle w:val="1"/>
        <w:rPr>
          <w:rFonts w:cs="Times New Roman"/>
          <w:szCs w:val="28"/>
          <w:lang w:eastAsia="zh-CN"/>
        </w:rPr>
      </w:pPr>
      <w:r w:rsidRPr="00DA6F43">
        <w:rPr>
          <w:rFonts w:cs="Times New Roman"/>
          <w:szCs w:val="28"/>
          <w:lang w:eastAsia="zh-CN"/>
        </w:rPr>
        <w:t xml:space="preserve">І. Визначення проблеми, яку </w:t>
      </w:r>
      <w:r w:rsidR="001C7414" w:rsidRPr="00200036">
        <w:rPr>
          <w:lang w:eastAsia="zh-CN"/>
        </w:rPr>
        <w:t>передбачається</w:t>
      </w:r>
      <w:r w:rsidRPr="00DA6F43">
        <w:rPr>
          <w:rFonts w:cs="Times New Roman"/>
          <w:szCs w:val="28"/>
          <w:lang w:eastAsia="zh-CN"/>
        </w:rPr>
        <w:t xml:space="preserve"> розв’язати шляхом державного регулювання</w:t>
      </w:r>
    </w:p>
    <w:p w14:paraId="4A722666" w14:textId="5097062F" w:rsidR="009707FE" w:rsidRPr="00C340FB" w:rsidRDefault="00BD78D0" w:rsidP="00BD78D0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Національний банк України (далі – Національний банк) відповідно до пункту 8</w:t>
      </w:r>
      <w:r w:rsidRPr="00DA6F43">
        <w:rPr>
          <w:vertAlign w:val="superscript"/>
          <w:lang w:eastAsia="zh-CN"/>
        </w:rPr>
        <w:t>1</w:t>
      </w:r>
      <w:r w:rsidRPr="00DA6F43">
        <w:rPr>
          <w:lang w:eastAsia="zh-CN"/>
        </w:rPr>
        <w:t xml:space="preserve"> статті 7 розділу І Закону України “Про Національний банк України” наділений повноваженнями </w:t>
      </w:r>
      <w:r w:rsidRPr="00C340FB">
        <w:rPr>
          <w:lang w:eastAsia="zh-CN"/>
        </w:rPr>
        <w:t>здійснювати державне регулювання та нагляд на індивідуальній і консолідованій основі на ринках небанківських фінансових послуг</w:t>
      </w:r>
      <w:r w:rsidR="009707FE" w:rsidRPr="00C340FB">
        <w:rPr>
          <w:lang w:eastAsia="zh-CN"/>
        </w:rPr>
        <w:t xml:space="preserve"> </w:t>
      </w:r>
      <w:r w:rsidR="00F2460D">
        <w:rPr>
          <w:lang w:eastAsia="zh-CN"/>
        </w:rPr>
        <w:t>у</w:t>
      </w:r>
      <w:r w:rsidR="009707FE" w:rsidRPr="00C340FB">
        <w:rPr>
          <w:lang w:eastAsia="zh-CN"/>
        </w:rPr>
        <w:t xml:space="preserve"> межах, визначених </w:t>
      </w:r>
      <w:r w:rsidR="00401900" w:rsidRPr="00C340FB">
        <w:rPr>
          <w:lang w:eastAsia="zh-CN"/>
        </w:rPr>
        <w:t xml:space="preserve">Законом України </w:t>
      </w:r>
      <w:r w:rsidR="00971699" w:rsidRPr="00C340FB">
        <w:rPr>
          <w:rFonts w:eastAsia="Calibri"/>
        </w:rPr>
        <w:t>“Про фінансові послуги та державне регулювання ринків фінансових послуг”</w:t>
      </w:r>
      <w:r w:rsidRPr="00C340FB">
        <w:rPr>
          <w:lang w:eastAsia="zh-CN"/>
        </w:rPr>
        <w:t xml:space="preserve"> та іншими законами України.</w:t>
      </w:r>
    </w:p>
    <w:p w14:paraId="1837E0B6" w14:textId="12ED9153" w:rsidR="00647934" w:rsidRPr="00C340FB" w:rsidRDefault="0069589A" w:rsidP="00BD78D0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Ч</w:t>
      </w:r>
      <w:r w:rsidR="00BD78D0" w:rsidRPr="00C340FB">
        <w:rPr>
          <w:lang w:eastAsia="zh-CN"/>
        </w:rPr>
        <w:t>астин</w:t>
      </w:r>
      <w:r w:rsidRPr="00C340FB">
        <w:rPr>
          <w:lang w:eastAsia="zh-CN"/>
        </w:rPr>
        <w:t>ою</w:t>
      </w:r>
      <w:r w:rsidR="00BD78D0" w:rsidRPr="00C340FB">
        <w:rPr>
          <w:lang w:eastAsia="zh-CN"/>
        </w:rPr>
        <w:t xml:space="preserve"> </w:t>
      </w:r>
      <w:r w:rsidR="00931618" w:rsidRPr="00C340FB">
        <w:rPr>
          <w:lang w:eastAsia="zh-CN"/>
        </w:rPr>
        <w:t xml:space="preserve">п’ятою статті 47 </w:t>
      </w:r>
      <w:r w:rsidR="008352B8" w:rsidRPr="00C340FB">
        <w:rPr>
          <w:lang w:eastAsia="zh-CN"/>
        </w:rPr>
        <w:t xml:space="preserve">Закону </w:t>
      </w:r>
      <w:r w:rsidR="008352B8" w:rsidRPr="00C340FB">
        <w:rPr>
          <w:bCs/>
          <w:lang w:eastAsia="zh-CN"/>
        </w:rPr>
        <w:t>України від 19</w:t>
      </w:r>
      <w:r w:rsidR="00FA38D4" w:rsidRPr="001928B7">
        <w:rPr>
          <w:bCs/>
          <w:lang w:val="ru-RU" w:eastAsia="zh-CN"/>
        </w:rPr>
        <w:t xml:space="preserve"> </w:t>
      </w:r>
      <w:r w:rsidR="00FA38D4">
        <w:rPr>
          <w:bCs/>
          <w:lang w:eastAsia="zh-CN"/>
        </w:rPr>
        <w:t xml:space="preserve">листопада </w:t>
      </w:r>
      <w:r w:rsidR="008352B8" w:rsidRPr="00C340FB">
        <w:rPr>
          <w:bCs/>
          <w:lang w:eastAsia="zh-CN"/>
        </w:rPr>
        <w:t xml:space="preserve">2021 </w:t>
      </w:r>
      <w:r w:rsidR="00FA38D4">
        <w:rPr>
          <w:bCs/>
          <w:lang w:eastAsia="zh-CN"/>
        </w:rPr>
        <w:t xml:space="preserve">року </w:t>
      </w:r>
      <w:r w:rsidR="008352B8" w:rsidRPr="00C340FB">
        <w:rPr>
          <w:bCs/>
          <w:lang w:eastAsia="zh-CN"/>
        </w:rPr>
        <w:t>№</w:t>
      </w:r>
      <w:r w:rsidR="00E04CCC" w:rsidRPr="00C340FB">
        <w:rPr>
          <w:bCs/>
          <w:lang w:val="en-US" w:eastAsia="zh-CN"/>
        </w:rPr>
        <w:t> </w:t>
      </w:r>
      <w:r w:rsidR="008352B8" w:rsidRPr="00C340FB">
        <w:rPr>
          <w:bCs/>
          <w:lang w:eastAsia="zh-CN"/>
        </w:rPr>
        <w:t xml:space="preserve">1909-IX </w:t>
      </w:r>
      <w:r w:rsidR="008352B8" w:rsidRPr="00C340FB">
        <w:rPr>
          <w:lang w:eastAsia="zh-CN"/>
        </w:rPr>
        <w:t>“Про страхування” (далі – Закон про страхування), основні положення якого вводяться в дію з 01</w:t>
      </w:r>
      <w:r w:rsidR="00FA38D4">
        <w:rPr>
          <w:lang w:eastAsia="zh-CN"/>
        </w:rPr>
        <w:t xml:space="preserve"> січня </w:t>
      </w:r>
      <w:r w:rsidR="008352B8" w:rsidRPr="00C340FB">
        <w:rPr>
          <w:lang w:eastAsia="zh-CN"/>
        </w:rPr>
        <w:t>2024</w:t>
      </w:r>
      <w:r w:rsidR="00FA38D4">
        <w:rPr>
          <w:lang w:eastAsia="zh-CN"/>
        </w:rPr>
        <w:t xml:space="preserve"> року</w:t>
      </w:r>
      <w:r w:rsidR="008352B8" w:rsidRPr="00C340FB">
        <w:rPr>
          <w:lang w:eastAsia="zh-CN"/>
        </w:rPr>
        <w:t xml:space="preserve">, </w:t>
      </w:r>
      <w:r w:rsidRPr="00C340FB">
        <w:rPr>
          <w:lang w:eastAsia="zh-CN"/>
        </w:rPr>
        <w:t>передбачен</w:t>
      </w:r>
      <w:r w:rsidR="00931618" w:rsidRPr="00C340FB">
        <w:rPr>
          <w:lang w:eastAsia="zh-CN"/>
        </w:rPr>
        <w:t xml:space="preserve">о, що страховик забезпечує ведення обліку всіх укладених договорів страхування (перестрахування) та заявлених вимог на здійснення страхової виплати </w:t>
      </w:r>
      <w:r w:rsidR="00F2460D">
        <w:rPr>
          <w:lang w:eastAsia="zh-CN"/>
        </w:rPr>
        <w:t>в</w:t>
      </w:r>
      <w:r w:rsidR="00F2460D" w:rsidRPr="00C340FB">
        <w:rPr>
          <w:lang w:eastAsia="zh-CN"/>
        </w:rPr>
        <w:t xml:space="preserve"> </w:t>
      </w:r>
      <w:r w:rsidR="00931618" w:rsidRPr="00C340FB">
        <w:rPr>
          <w:lang w:eastAsia="zh-CN"/>
        </w:rPr>
        <w:t xml:space="preserve">порядку, визначеному таким страховиком з урахуванням вимог закону, міжнародних стандартів фінансової звітності та нормативно-правових актів </w:t>
      </w:r>
      <w:r w:rsidR="001D1E46" w:rsidRPr="00C340FB">
        <w:rPr>
          <w:lang w:eastAsia="zh-CN"/>
        </w:rPr>
        <w:t>Національного банку</w:t>
      </w:r>
      <w:r w:rsidR="00647934" w:rsidRPr="00C340FB">
        <w:rPr>
          <w:lang w:eastAsia="zh-CN"/>
        </w:rPr>
        <w:t>.</w:t>
      </w:r>
    </w:p>
    <w:p w14:paraId="32B46ECC" w14:textId="77777777" w:rsidR="003F76E1" w:rsidRPr="00C340FB" w:rsidRDefault="003F76E1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Частиною п</w:t>
      </w:r>
      <w:r w:rsidR="00F15AAB" w:rsidRPr="00C340FB">
        <w:rPr>
          <w:lang w:val="ru-RU" w:eastAsia="zh-CN"/>
        </w:rPr>
        <w:t>’</w:t>
      </w:r>
      <w:proofErr w:type="spellStart"/>
      <w:r w:rsidRPr="00C340FB">
        <w:rPr>
          <w:lang w:eastAsia="zh-CN"/>
        </w:rPr>
        <w:t>ятою</w:t>
      </w:r>
      <w:proofErr w:type="spellEnd"/>
      <w:r w:rsidRPr="00C340FB">
        <w:rPr>
          <w:lang w:eastAsia="zh-CN"/>
        </w:rPr>
        <w:t xml:space="preserve"> статті 109 Закону про страхування </w:t>
      </w:r>
      <w:r w:rsidR="00FE4C57" w:rsidRPr="00C340FB">
        <w:rPr>
          <w:bCs/>
          <w:lang w:eastAsia="zh-CN"/>
        </w:rPr>
        <w:t xml:space="preserve">передбачено, що Національний банк встановлює вимоги </w:t>
      </w:r>
      <w:r w:rsidR="00FE4C57" w:rsidRPr="00C340FB">
        <w:rPr>
          <w:lang w:eastAsia="zh-CN"/>
        </w:rPr>
        <w:t>до</w:t>
      </w:r>
      <w:r w:rsidR="00E953EC" w:rsidRPr="00C340FB">
        <w:rPr>
          <w:lang w:eastAsia="zh-CN"/>
        </w:rPr>
        <w:t xml:space="preserve"> </w:t>
      </w:r>
      <w:r w:rsidR="00FE4C57" w:rsidRPr="00C340FB">
        <w:rPr>
          <w:lang w:eastAsia="zh-CN"/>
        </w:rPr>
        <w:t>порядку та умов ведення</w:t>
      </w:r>
      <w:r w:rsidRPr="00C340FB">
        <w:rPr>
          <w:lang w:eastAsia="zh-CN"/>
        </w:rPr>
        <w:t xml:space="preserve"> персоніфікован</w:t>
      </w:r>
      <w:r w:rsidR="00FE4C57" w:rsidRPr="00C340FB">
        <w:rPr>
          <w:lang w:eastAsia="zh-CN"/>
        </w:rPr>
        <w:t>ого</w:t>
      </w:r>
      <w:r w:rsidRPr="00C340FB">
        <w:rPr>
          <w:lang w:eastAsia="zh-CN"/>
        </w:rPr>
        <w:t xml:space="preserve"> (індивідуальн</w:t>
      </w:r>
      <w:r w:rsidR="00FE4C57" w:rsidRPr="00C340FB">
        <w:rPr>
          <w:lang w:eastAsia="zh-CN"/>
        </w:rPr>
        <w:t>ого</w:t>
      </w:r>
      <w:r w:rsidRPr="00C340FB">
        <w:rPr>
          <w:lang w:eastAsia="zh-CN"/>
        </w:rPr>
        <w:t>) облік</w:t>
      </w:r>
      <w:r w:rsidR="00FE4C57" w:rsidRPr="00C340FB">
        <w:rPr>
          <w:lang w:eastAsia="zh-CN"/>
        </w:rPr>
        <w:t>у договорів страхування життя</w:t>
      </w:r>
      <w:r w:rsidRPr="00C340FB">
        <w:rPr>
          <w:lang w:eastAsia="zh-CN"/>
        </w:rPr>
        <w:t>.</w:t>
      </w:r>
    </w:p>
    <w:p w14:paraId="4F0B694A" w14:textId="3EECD041" w:rsidR="00AA1AD7" w:rsidRPr="00C340FB" w:rsidRDefault="00AA1AD7" w:rsidP="00AA1AD7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t xml:space="preserve">Частиною шостою статті 18 Закону України </w:t>
      </w:r>
      <w:r w:rsidR="00FA38D4" w:rsidRPr="00C340FB">
        <w:t xml:space="preserve">від 14 грудня 2021 року № 1953-ІХ </w:t>
      </w:r>
      <w:r w:rsidRPr="00C340FB">
        <w:t xml:space="preserve">“Про фінансові послуги та фінансові компанії” передбачені </w:t>
      </w:r>
      <w:r w:rsidRPr="00C340FB">
        <w:rPr>
          <w:lang w:eastAsia="zh-CN"/>
        </w:rPr>
        <w:t>повноваження Національного банку як регулятора</w:t>
      </w:r>
      <w:r w:rsidRPr="00C340FB">
        <w:t xml:space="preserve"> на визначення порядку ведення обліку договорів аутсорсингу.</w:t>
      </w:r>
    </w:p>
    <w:p w14:paraId="03D32C47" w14:textId="77777777" w:rsidR="00587465" w:rsidRPr="00C340FB" w:rsidRDefault="00E04CCC" w:rsidP="00BD78D0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Повноваження Національного банку як регулятора на встановлення порядку ведення реєстру активів для покриття технічних резервів страховика визначено ч</w:t>
      </w:r>
      <w:r w:rsidR="00647934" w:rsidRPr="00C340FB">
        <w:rPr>
          <w:lang w:eastAsia="zh-CN"/>
        </w:rPr>
        <w:t xml:space="preserve">астиною </w:t>
      </w:r>
      <w:r w:rsidR="00B17EE1" w:rsidRPr="00C340FB">
        <w:rPr>
          <w:lang w:eastAsia="zh-CN"/>
        </w:rPr>
        <w:t>п’ятою</w:t>
      </w:r>
      <w:r w:rsidR="00647934" w:rsidRPr="00C340FB">
        <w:rPr>
          <w:lang w:eastAsia="zh-CN"/>
        </w:rPr>
        <w:t xml:space="preserve"> статті 45 розділу VI Закону про страхування</w:t>
      </w:r>
      <w:r w:rsidRPr="00C340FB">
        <w:rPr>
          <w:lang w:eastAsia="zh-CN"/>
        </w:rPr>
        <w:t>.</w:t>
      </w:r>
    </w:p>
    <w:p w14:paraId="575664F3" w14:textId="61463263" w:rsidR="00213FD1" w:rsidRPr="00C340FB" w:rsidRDefault="00213FD1" w:rsidP="00213FD1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Для забезпечення реалізації положень Закону про страхування Національни</w:t>
      </w:r>
      <w:r w:rsidR="001D1E46" w:rsidRPr="00C340FB">
        <w:rPr>
          <w:lang w:eastAsia="zh-CN"/>
        </w:rPr>
        <w:t>й</w:t>
      </w:r>
      <w:r w:rsidRPr="00C340FB">
        <w:rPr>
          <w:lang w:eastAsia="zh-CN"/>
        </w:rPr>
        <w:t xml:space="preserve"> банк при здійсненні державного регулювання та нагляду за діяльністю </w:t>
      </w:r>
      <w:r w:rsidR="00E04CCC" w:rsidRPr="00C340FB">
        <w:rPr>
          <w:lang w:eastAsia="zh-CN"/>
        </w:rPr>
        <w:t xml:space="preserve">у сфері страхування </w:t>
      </w:r>
      <w:r w:rsidRPr="00C340FB">
        <w:rPr>
          <w:lang w:eastAsia="zh-CN"/>
        </w:rPr>
        <w:t xml:space="preserve">відповідно до пунктів </w:t>
      </w:r>
      <w:r w:rsidR="00090F6A" w:rsidRPr="00C340FB">
        <w:rPr>
          <w:lang w:eastAsia="zh-CN"/>
        </w:rPr>
        <w:t xml:space="preserve">4, </w:t>
      </w:r>
      <w:r w:rsidRPr="00C340FB">
        <w:rPr>
          <w:lang w:eastAsia="zh-CN"/>
        </w:rPr>
        <w:t>20 частини третьої статті 114 розділу XIV Закону про страхування встановл</w:t>
      </w:r>
      <w:r w:rsidR="001D1E46" w:rsidRPr="00C340FB">
        <w:rPr>
          <w:lang w:eastAsia="zh-CN"/>
        </w:rPr>
        <w:t>ює</w:t>
      </w:r>
      <w:r w:rsidRPr="00C340FB">
        <w:rPr>
          <w:lang w:eastAsia="zh-CN"/>
        </w:rPr>
        <w:t xml:space="preserve"> вимоги щодо захисту інформації страховиків, а також </w:t>
      </w:r>
      <w:r w:rsidR="00090F6A" w:rsidRPr="00C340FB">
        <w:rPr>
          <w:lang w:eastAsia="zh-CN"/>
        </w:rPr>
        <w:t xml:space="preserve">правил </w:t>
      </w:r>
      <w:r w:rsidRPr="00C340FB">
        <w:rPr>
          <w:lang w:eastAsia="zh-CN"/>
        </w:rPr>
        <w:t>формування та/або обліку технічних резервів страховика.</w:t>
      </w:r>
    </w:p>
    <w:p w14:paraId="6423B3CC" w14:textId="040085BC" w:rsidR="00572C8D" w:rsidRPr="00C340FB" w:rsidRDefault="00572C8D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C340FB">
        <w:rPr>
          <w:bCs/>
          <w:lang w:eastAsia="zh-CN"/>
        </w:rPr>
        <w:t xml:space="preserve">Законом про страхування передбачене реформування страхового ринку України – його перехід на європейські стандарти страхування, </w:t>
      </w:r>
      <w:r w:rsidR="00F2460D">
        <w:rPr>
          <w:bCs/>
          <w:lang w:eastAsia="zh-CN"/>
        </w:rPr>
        <w:t>в</w:t>
      </w:r>
      <w:r w:rsidRPr="00C340FB">
        <w:rPr>
          <w:bCs/>
          <w:lang w:eastAsia="zh-CN"/>
        </w:rPr>
        <w:t>ключаючи заміну видів страхування на класи страхування та уклад</w:t>
      </w:r>
      <w:r w:rsidR="00F2460D">
        <w:rPr>
          <w:bCs/>
          <w:lang w:eastAsia="zh-CN"/>
        </w:rPr>
        <w:t>а</w:t>
      </w:r>
      <w:r w:rsidRPr="00C340FB">
        <w:rPr>
          <w:bCs/>
          <w:lang w:eastAsia="zh-CN"/>
        </w:rPr>
        <w:t xml:space="preserve">ння договорів страхування за класами страхування (ризиками в межах класів страхування), </w:t>
      </w:r>
      <w:r w:rsidR="007A2F40" w:rsidRPr="00C340FB">
        <w:rPr>
          <w:bCs/>
          <w:lang w:eastAsia="zh-CN"/>
        </w:rPr>
        <w:t xml:space="preserve">тому зазначені нововведення </w:t>
      </w:r>
      <w:r w:rsidRPr="00C340FB">
        <w:rPr>
          <w:bCs/>
          <w:lang w:eastAsia="zh-CN"/>
        </w:rPr>
        <w:t xml:space="preserve">вимагають від страховиків проведення змін в організації бізнес-процесів, що потребуватиме розроблення нових внутрішніх процедур і положень, доопрацювання та налаштування інформаційних систем страховика з </w:t>
      </w:r>
      <w:r w:rsidRPr="00C340FB">
        <w:rPr>
          <w:bCs/>
          <w:lang w:eastAsia="zh-CN"/>
        </w:rPr>
        <w:lastRenderedPageBreak/>
        <w:t xml:space="preserve">метою забезпечення обліку </w:t>
      </w:r>
      <w:r w:rsidR="00B026D9" w:rsidRPr="00C340FB">
        <w:rPr>
          <w:bCs/>
          <w:lang w:eastAsia="zh-CN"/>
        </w:rPr>
        <w:t xml:space="preserve">в цих системах </w:t>
      </w:r>
      <w:r w:rsidR="005E701A" w:rsidRPr="00C340FB">
        <w:rPr>
          <w:bCs/>
          <w:lang w:eastAsia="zh-CN"/>
        </w:rPr>
        <w:t>договорів, пов’язаних зі здійсненням ним діяльності і</w:t>
      </w:r>
      <w:r w:rsidR="002C3EED" w:rsidRPr="00C340FB">
        <w:rPr>
          <w:bCs/>
          <w:lang w:eastAsia="zh-CN"/>
        </w:rPr>
        <w:t>з</w:t>
      </w:r>
      <w:r w:rsidR="005E701A" w:rsidRPr="00C340FB">
        <w:rPr>
          <w:bCs/>
          <w:lang w:eastAsia="zh-CN"/>
        </w:rPr>
        <w:t xml:space="preserve"> страхування</w:t>
      </w:r>
      <w:r w:rsidR="00CA3DA3" w:rsidRPr="00C340FB">
        <w:rPr>
          <w:bCs/>
          <w:lang w:eastAsia="zh-CN"/>
        </w:rPr>
        <w:t>,</w:t>
      </w:r>
      <w:r w:rsidR="005E701A" w:rsidRPr="00C340FB" w:rsidDel="005E701A">
        <w:rPr>
          <w:bCs/>
          <w:lang w:eastAsia="zh-CN"/>
        </w:rPr>
        <w:t xml:space="preserve"> </w:t>
      </w:r>
      <w:r w:rsidRPr="00C340FB">
        <w:rPr>
          <w:bCs/>
          <w:lang w:eastAsia="zh-CN"/>
        </w:rPr>
        <w:t>в електронному вигляді</w:t>
      </w:r>
      <w:r w:rsidR="00663058" w:rsidRPr="00C340FB">
        <w:rPr>
          <w:bCs/>
          <w:lang w:eastAsia="zh-CN"/>
        </w:rPr>
        <w:t xml:space="preserve"> та </w:t>
      </w:r>
      <w:r w:rsidRPr="00C340FB">
        <w:rPr>
          <w:bCs/>
          <w:lang w:eastAsia="zh-CN"/>
        </w:rPr>
        <w:t xml:space="preserve"> </w:t>
      </w:r>
      <w:r w:rsidR="00663058" w:rsidRPr="00C340FB">
        <w:rPr>
          <w:bCs/>
          <w:lang w:eastAsia="zh-CN"/>
        </w:rPr>
        <w:t xml:space="preserve">захисту інформації </w:t>
      </w:r>
      <w:r w:rsidR="00F2460D">
        <w:rPr>
          <w:bCs/>
          <w:lang w:eastAsia="zh-CN"/>
        </w:rPr>
        <w:t>в</w:t>
      </w:r>
      <w:r w:rsidR="00F2460D" w:rsidRPr="00C340FB">
        <w:rPr>
          <w:bCs/>
          <w:lang w:eastAsia="zh-CN"/>
        </w:rPr>
        <w:t xml:space="preserve"> </w:t>
      </w:r>
      <w:r w:rsidRPr="00C340FB">
        <w:rPr>
          <w:bCs/>
          <w:lang w:eastAsia="zh-CN"/>
        </w:rPr>
        <w:t>таких інформаційних системах.</w:t>
      </w:r>
    </w:p>
    <w:p w14:paraId="48B5981D" w14:textId="2317344C" w:rsidR="00197A75" w:rsidRPr="00C340FB" w:rsidRDefault="00197A75" w:rsidP="007E589C">
      <w:pPr>
        <w:widowControl w:val="0"/>
        <w:shd w:val="clear" w:color="auto" w:fill="FFFFFF"/>
        <w:ind w:firstLine="686"/>
        <w:rPr>
          <w:spacing w:val="-4"/>
        </w:rPr>
      </w:pPr>
      <w:r w:rsidRPr="00C340FB">
        <w:rPr>
          <w:bCs/>
          <w:lang w:eastAsia="zh-CN"/>
        </w:rPr>
        <w:t xml:space="preserve">Проблема, яку пропонується </w:t>
      </w:r>
      <w:r w:rsidRPr="00C340FB">
        <w:t xml:space="preserve">розв’язати шляхом державного регулювання, а саме </w:t>
      </w:r>
      <w:r w:rsidR="004D2E1D" w:rsidRPr="00C340FB">
        <w:t xml:space="preserve">шляхом </w:t>
      </w:r>
      <w:r w:rsidRPr="00C340FB">
        <w:t xml:space="preserve">прийняття </w:t>
      </w:r>
      <w:proofErr w:type="spellStart"/>
      <w:r w:rsidR="006530E2" w:rsidRPr="00C340FB">
        <w:rPr>
          <w:bCs/>
          <w:lang w:eastAsia="zh-CN"/>
        </w:rPr>
        <w:t>проєкту</w:t>
      </w:r>
      <w:proofErr w:type="spellEnd"/>
      <w:r w:rsidR="006530E2" w:rsidRPr="00C340FB">
        <w:rPr>
          <w:bCs/>
          <w:lang w:eastAsia="zh-CN"/>
        </w:rPr>
        <w:t xml:space="preserve"> постанови Правління Національного банку України “Про затвердження </w:t>
      </w:r>
      <w:r w:rsidR="00B026D9" w:rsidRPr="00C340FB">
        <w:rPr>
          <w:rFonts w:eastAsiaTheme="minorEastAsia"/>
        </w:rPr>
        <w:t>Положення про порядок обліку страховиком договорів, пов’язаних зі здійсненням діяльності із страхування, та вимог до захисту інформації страховика</w:t>
      </w:r>
      <w:r w:rsidR="006530E2" w:rsidRPr="00C340FB">
        <w:rPr>
          <w:bCs/>
          <w:lang w:eastAsia="zh-CN"/>
        </w:rPr>
        <w:t>” (далі – регуляторний акт)</w:t>
      </w:r>
      <w:r w:rsidRPr="00C340FB">
        <w:rPr>
          <w:spacing w:val="-4"/>
        </w:rPr>
        <w:t>, стосується:</w:t>
      </w:r>
    </w:p>
    <w:p w14:paraId="799965CD" w14:textId="204B32C3" w:rsidR="004C1194" w:rsidRPr="00C340FB" w:rsidRDefault="004C1194" w:rsidP="007E54EC">
      <w:pPr>
        <w:widowControl w:val="0"/>
        <w:shd w:val="clear" w:color="auto" w:fill="FFFFFF"/>
        <w:ind w:firstLine="686"/>
        <w:rPr>
          <w:spacing w:val="-4"/>
        </w:rPr>
      </w:pPr>
      <w:r w:rsidRPr="00C340FB">
        <w:rPr>
          <w:bCs/>
          <w:lang w:eastAsia="zh-CN"/>
        </w:rPr>
        <w:t xml:space="preserve">визначення </w:t>
      </w:r>
      <w:r w:rsidR="001D0338">
        <w:rPr>
          <w:bCs/>
          <w:lang w:eastAsia="zh-CN"/>
        </w:rPr>
        <w:t xml:space="preserve">вимог </w:t>
      </w:r>
      <w:r w:rsidR="001D0338" w:rsidRPr="001D0338">
        <w:rPr>
          <w:lang w:eastAsia="zh-CN"/>
        </w:rPr>
        <w:t>до</w:t>
      </w:r>
      <w:r w:rsidR="001D0338">
        <w:rPr>
          <w:lang w:eastAsia="zh-CN"/>
        </w:rPr>
        <w:t xml:space="preserve"> </w:t>
      </w:r>
      <w:r w:rsidR="001D0338" w:rsidRPr="001D0338">
        <w:rPr>
          <w:lang w:eastAsia="zh-CN"/>
        </w:rPr>
        <w:t xml:space="preserve">забезпечення обліку договорів, пов’язаних зі здійсненням діяльності із страхування, </w:t>
      </w:r>
      <w:r w:rsidR="00993952" w:rsidRPr="00C340FB">
        <w:rPr>
          <w:lang w:eastAsia="zh-CN"/>
        </w:rPr>
        <w:t xml:space="preserve"> та </w:t>
      </w:r>
      <w:r w:rsidR="00247BC2">
        <w:rPr>
          <w:lang w:eastAsia="zh-CN"/>
        </w:rPr>
        <w:t xml:space="preserve">інших </w:t>
      </w:r>
      <w:r w:rsidR="00993952" w:rsidRPr="00C340FB">
        <w:rPr>
          <w:lang w:eastAsia="zh-CN"/>
        </w:rPr>
        <w:t>операцій зі страхування в інформаційних системах</w:t>
      </w:r>
      <w:r w:rsidR="00F23814">
        <w:rPr>
          <w:lang w:eastAsia="zh-CN"/>
        </w:rPr>
        <w:t xml:space="preserve"> страховика</w:t>
      </w:r>
      <w:r w:rsidR="00993952" w:rsidRPr="00C340FB">
        <w:rPr>
          <w:lang w:eastAsia="zh-CN"/>
        </w:rPr>
        <w:t>,</w:t>
      </w:r>
      <w:r w:rsidR="00993952" w:rsidRPr="00C340FB">
        <w:rPr>
          <w:bCs/>
          <w:lang w:eastAsia="zh-CN"/>
        </w:rPr>
        <w:t xml:space="preserve"> </w:t>
      </w:r>
      <w:r w:rsidR="00864477" w:rsidRPr="00C340FB">
        <w:rPr>
          <w:bCs/>
          <w:lang w:eastAsia="zh-CN"/>
        </w:rPr>
        <w:t xml:space="preserve">вимог до </w:t>
      </w:r>
      <w:r w:rsidR="00933FA1" w:rsidRPr="00C340FB">
        <w:t xml:space="preserve">захисту інформації </w:t>
      </w:r>
      <w:r w:rsidR="00993952" w:rsidRPr="00C340FB">
        <w:t xml:space="preserve">страховика </w:t>
      </w:r>
      <w:r w:rsidR="00FC1F46" w:rsidRPr="00C340FB">
        <w:t>в таких системах</w:t>
      </w:r>
      <w:r w:rsidRPr="00C340FB">
        <w:rPr>
          <w:bCs/>
          <w:lang w:eastAsia="zh-CN"/>
        </w:rPr>
        <w:t>;</w:t>
      </w:r>
    </w:p>
    <w:p w14:paraId="0CE35E70" w14:textId="39F098FF" w:rsidR="00644E15" w:rsidRPr="00C340FB" w:rsidRDefault="00197A75" w:rsidP="007E54EC">
      <w:pPr>
        <w:widowControl w:val="0"/>
        <w:shd w:val="clear" w:color="auto" w:fill="FFFFFF"/>
        <w:ind w:firstLine="686"/>
        <w:rPr>
          <w:bCs/>
        </w:rPr>
      </w:pPr>
      <w:r w:rsidRPr="00C340FB">
        <w:rPr>
          <w:lang w:eastAsia="zh-CN"/>
        </w:rPr>
        <w:t xml:space="preserve">встановлення </w:t>
      </w:r>
      <w:bookmarkStart w:id="1" w:name="_Ref135424916"/>
      <w:r w:rsidR="00211306" w:rsidRPr="00C340FB">
        <w:rPr>
          <w:lang w:eastAsia="zh-CN"/>
        </w:rPr>
        <w:t xml:space="preserve">вимог </w:t>
      </w:r>
      <w:r w:rsidR="00581A44" w:rsidRPr="00C340FB">
        <w:rPr>
          <w:lang w:eastAsia="zh-CN"/>
        </w:rPr>
        <w:t>до ведення</w:t>
      </w:r>
      <w:r w:rsidR="00581A44" w:rsidRPr="00C340FB">
        <w:rPr>
          <w:lang w:eastAsia="en-US"/>
        </w:rPr>
        <w:t xml:space="preserve"> в інформаційних системах страховика</w:t>
      </w:r>
      <w:r w:rsidR="0042763D" w:rsidRPr="00C340FB">
        <w:rPr>
          <w:lang w:eastAsia="zh-CN"/>
        </w:rPr>
        <w:t xml:space="preserve"> обліку</w:t>
      </w:r>
      <w:r w:rsidR="0042763D" w:rsidRPr="00C340FB">
        <w:rPr>
          <w:bCs/>
          <w:lang w:eastAsia="zh-CN"/>
        </w:rPr>
        <w:t xml:space="preserve"> </w:t>
      </w:r>
      <w:bookmarkEnd w:id="1"/>
      <w:r w:rsidR="00F15AAB" w:rsidRPr="00C340FB">
        <w:t>договор</w:t>
      </w:r>
      <w:r w:rsidR="00CA3DA3" w:rsidRPr="00C340FB">
        <w:t>ів</w:t>
      </w:r>
      <w:r w:rsidR="00F15AAB" w:rsidRPr="00C340FB">
        <w:t xml:space="preserve"> страхування, </w:t>
      </w:r>
      <w:r w:rsidR="00F2460D">
        <w:t>в</w:t>
      </w:r>
      <w:r w:rsidR="00F15AAB" w:rsidRPr="00C340FB">
        <w:t xml:space="preserve">ключаючи персоніфікований (індивідуальний) облік договорів страхування життя, </w:t>
      </w:r>
      <w:r w:rsidR="00C35FE2" w:rsidRPr="00C340FB">
        <w:t>договор</w:t>
      </w:r>
      <w:r w:rsidR="00CA3DA3" w:rsidRPr="00C340FB">
        <w:t>ів</w:t>
      </w:r>
      <w:r w:rsidR="00C35FE2" w:rsidRPr="00C340FB">
        <w:t xml:space="preserve"> вхідного та/або вихідного перестрахування</w:t>
      </w:r>
      <w:r w:rsidR="00581A44" w:rsidRPr="00C340FB">
        <w:t xml:space="preserve"> шляхом реєстрації </w:t>
      </w:r>
      <w:r w:rsidR="00F2460D">
        <w:t>в</w:t>
      </w:r>
      <w:r w:rsidR="00581A44" w:rsidRPr="00C340FB">
        <w:t>сіх операцій зі страхування, які виникають під час уклад</w:t>
      </w:r>
      <w:r w:rsidR="00F2460D">
        <w:t>а</w:t>
      </w:r>
      <w:r w:rsidR="00581A44" w:rsidRPr="00C340FB">
        <w:t>ння, обслуговування та/або виконання таких договорів</w:t>
      </w:r>
      <w:r w:rsidR="00644E15" w:rsidRPr="00C340FB">
        <w:t xml:space="preserve">, </w:t>
      </w:r>
      <w:r w:rsidR="00AA1AD7" w:rsidRPr="00C340FB">
        <w:t>та облік</w:t>
      </w:r>
      <w:r w:rsidR="00790EA9" w:rsidRPr="00C340FB">
        <w:t>у</w:t>
      </w:r>
      <w:r w:rsidR="00AA1AD7" w:rsidRPr="00C340FB">
        <w:t xml:space="preserve"> </w:t>
      </w:r>
      <w:r w:rsidR="00644E15" w:rsidRPr="00C340FB">
        <w:t>інших договорів</w:t>
      </w:r>
      <w:r w:rsidR="00DD5F73" w:rsidRPr="00C340FB">
        <w:t xml:space="preserve"> та операцій</w:t>
      </w:r>
      <w:r w:rsidR="00644E15" w:rsidRPr="00C340FB">
        <w:t>, пов’язаних зі здійсненням страховиком діяльності із страхування</w:t>
      </w:r>
      <w:r w:rsidR="00644E15" w:rsidRPr="00C340FB">
        <w:rPr>
          <w:bCs/>
        </w:rPr>
        <w:t>;</w:t>
      </w:r>
    </w:p>
    <w:p w14:paraId="09AAB6FF" w14:textId="77777777" w:rsidR="007E589C" w:rsidRPr="00C340FB" w:rsidRDefault="00644E15" w:rsidP="007E54EC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bCs/>
        </w:rPr>
        <w:t>встановлення правил</w:t>
      </w:r>
      <w:r w:rsidR="0073671B" w:rsidRPr="00C340FB">
        <w:rPr>
          <w:bCs/>
        </w:rPr>
        <w:t xml:space="preserve"> облік</w:t>
      </w:r>
      <w:r w:rsidRPr="00C340FB">
        <w:rPr>
          <w:bCs/>
        </w:rPr>
        <w:t>у</w:t>
      </w:r>
      <w:r w:rsidR="0073671B" w:rsidRPr="00C340FB">
        <w:t xml:space="preserve"> технічних резервів за укладеними договорами страхування (перестрахування)</w:t>
      </w:r>
      <w:r w:rsidR="007E589C" w:rsidRPr="00C340FB">
        <w:rPr>
          <w:lang w:eastAsia="zh-CN"/>
        </w:rPr>
        <w:t>;</w:t>
      </w:r>
    </w:p>
    <w:p w14:paraId="753B12F9" w14:textId="77777777" w:rsidR="00C35FE2" w:rsidRPr="00C340FB" w:rsidRDefault="00C35FE2" w:rsidP="003F23C3">
      <w:pPr>
        <w:widowControl w:val="0"/>
        <w:shd w:val="clear" w:color="auto" w:fill="FFFFFF"/>
        <w:ind w:firstLine="686"/>
      </w:pPr>
      <w:r w:rsidRPr="00C340FB">
        <w:rPr>
          <w:lang w:eastAsia="en-US"/>
        </w:rPr>
        <w:t>встановлення</w:t>
      </w:r>
      <w:r w:rsidRPr="00C340FB">
        <w:rPr>
          <w:lang w:eastAsia="zh-CN"/>
        </w:rPr>
        <w:t xml:space="preserve"> по</w:t>
      </w:r>
      <w:r w:rsidRPr="00C340FB">
        <w:t xml:space="preserve">рядку </w:t>
      </w:r>
      <w:r w:rsidRPr="00C340FB">
        <w:rPr>
          <w:bCs/>
        </w:rPr>
        <w:t>ведення</w:t>
      </w:r>
      <w:r w:rsidRPr="00C340FB">
        <w:t xml:space="preserve"> </w:t>
      </w:r>
      <w:r w:rsidRPr="00C340FB">
        <w:rPr>
          <w:bCs/>
        </w:rPr>
        <w:t>реєстру</w:t>
      </w:r>
      <w:r w:rsidRPr="00C340FB">
        <w:t xml:space="preserve"> активів для покриття технічних резервів за договорами страхування (перестрахування);</w:t>
      </w:r>
    </w:p>
    <w:p w14:paraId="7653DF74" w14:textId="77777777" w:rsidR="00197A75" w:rsidRPr="00C340FB" w:rsidRDefault="007E589C" w:rsidP="007E589C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en-US"/>
        </w:rPr>
        <w:t xml:space="preserve">здійснення </w:t>
      </w:r>
      <w:r w:rsidRPr="00C340FB">
        <w:rPr>
          <w:lang w:eastAsia="zh-CN"/>
        </w:rPr>
        <w:t>Національним</w:t>
      </w:r>
      <w:r w:rsidRPr="00C340FB">
        <w:rPr>
          <w:lang w:eastAsia="en-US"/>
        </w:rPr>
        <w:t xml:space="preserve"> банком контролю за дотриманням вимог регуляторного акта</w:t>
      </w:r>
      <w:r w:rsidR="00197A75" w:rsidRPr="00C340FB">
        <w:rPr>
          <w:lang w:eastAsia="zh-CN"/>
        </w:rPr>
        <w:t>.</w:t>
      </w:r>
    </w:p>
    <w:p w14:paraId="0AB04EDE" w14:textId="77777777" w:rsidR="007E54EC" w:rsidRPr="00C340FB" w:rsidRDefault="00197A75" w:rsidP="007E54EC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C340FB">
        <w:rPr>
          <w:bCs/>
          <w:lang w:eastAsia="zh-CN"/>
        </w:rPr>
        <w:t>Зазначен</w:t>
      </w:r>
      <w:r w:rsidR="0083636D" w:rsidRPr="00C340FB">
        <w:rPr>
          <w:bCs/>
          <w:lang w:eastAsia="zh-CN"/>
        </w:rPr>
        <w:t>і</w:t>
      </w:r>
      <w:r w:rsidRPr="00C340FB">
        <w:rPr>
          <w:bCs/>
          <w:lang w:eastAsia="zh-CN"/>
        </w:rPr>
        <w:t xml:space="preserve"> питання не мож</w:t>
      </w:r>
      <w:r w:rsidR="0083636D" w:rsidRPr="00C340FB">
        <w:rPr>
          <w:bCs/>
          <w:lang w:eastAsia="zh-CN"/>
        </w:rPr>
        <w:t>уть</w:t>
      </w:r>
      <w:r w:rsidRPr="00C340FB">
        <w:rPr>
          <w:bCs/>
          <w:lang w:eastAsia="zh-CN"/>
        </w:rPr>
        <w:t xml:space="preserve"> бути вирішен</w:t>
      </w:r>
      <w:r w:rsidR="0083636D" w:rsidRPr="00C340FB">
        <w:rPr>
          <w:bCs/>
          <w:lang w:eastAsia="zh-CN"/>
        </w:rPr>
        <w:t>і</w:t>
      </w:r>
      <w:r w:rsidRPr="00C340FB">
        <w:rPr>
          <w:bCs/>
          <w:lang w:eastAsia="zh-CN"/>
        </w:rPr>
        <w:t xml:space="preserve"> за допомогою ринкових механізмів, оскільки вон</w:t>
      </w:r>
      <w:r w:rsidR="0083636D" w:rsidRPr="00C340FB">
        <w:rPr>
          <w:bCs/>
          <w:lang w:eastAsia="zh-CN"/>
        </w:rPr>
        <w:t>и</w:t>
      </w:r>
      <w:r w:rsidRPr="00C340FB">
        <w:rPr>
          <w:bCs/>
          <w:lang w:eastAsia="zh-CN"/>
        </w:rPr>
        <w:t xml:space="preserve"> стосу</w:t>
      </w:r>
      <w:r w:rsidR="0083636D" w:rsidRPr="00C340FB">
        <w:rPr>
          <w:bCs/>
          <w:lang w:eastAsia="zh-CN"/>
        </w:rPr>
        <w:t>ю</w:t>
      </w:r>
      <w:r w:rsidRPr="00C340FB">
        <w:rPr>
          <w:bCs/>
          <w:lang w:eastAsia="zh-CN"/>
        </w:rPr>
        <w:t>ться реалізації повноважень Національного банку, визначених Законом про страхування.</w:t>
      </w:r>
      <w:r w:rsidR="0083636D" w:rsidRPr="00C340FB">
        <w:rPr>
          <w:bCs/>
          <w:lang w:eastAsia="zh-CN"/>
        </w:rPr>
        <w:t xml:space="preserve"> </w:t>
      </w:r>
    </w:p>
    <w:p w14:paraId="28CE5984" w14:textId="77777777" w:rsidR="00050617" w:rsidRPr="00C340FB" w:rsidRDefault="00050617" w:rsidP="00050617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C340FB">
        <w:rPr>
          <w:bCs/>
          <w:lang w:eastAsia="zh-CN"/>
        </w:rPr>
        <w:t>Пунктом 25 розділу XV “Прикінцеві та перехідні положення” Закону про страхування передбачено до дня введення в дію цього Закону Національному банку привести свої нормативно-правові акти у відповідність із цим Законом та забезпечити прийняття нормативно-правових актів, необхідних для реалізації цього Закону.</w:t>
      </w:r>
    </w:p>
    <w:p w14:paraId="0F4CDFA5" w14:textId="2BD76B24" w:rsidR="00BE4240" w:rsidRPr="00C340FB" w:rsidRDefault="00B64C2B" w:rsidP="00465490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C340FB">
        <w:rPr>
          <w:bCs/>
          <w:lang w:eastAsia="zh-CN"/>
        </w:rPr>
        <w:t>У відповідній сфері правового регулювання є діюч</w:t>
      </w:r>
      <w:r w:rsidR="002A183D" w:rsidRPr="00C340FB">
        <w:rPr>
          <w:bCs/>
          <w:lang w:eastAsia="zh-CN"/>
        </w:rPr>
        <w:t>ий</w:t>
      </w:r>
      <w:r w:rsidRPr="00C340FB">
        <w:rPr>
          <w:bCs/>
          <w:lang w:eastAsia="zh-CN"/>
        </w:rPr>
        <w:t xml:space="preserve"> акт Національного банку</w:t>
      </w:r>
      <w:r w:rsidR="004379AA" w:rsidRPr="00C340FB">
        <w:rPr>
          <w:bCs/>
          <w:lang w:eastAsia="zh-CN"/>
        </w:rPr>
        <w:t xml:space="preserve">, </w:t>
      </w:r>
      <w:r w:rsidRPr="00C340FB">
        <w:rPr>
          <w:bCs/>
          <w:lang w:eastAsia="zh-CN"/>
        </w:rPr>
        <w:t xml:space="preserve">а саме </w:t>
      </w:r>
      <w:r w:rsidRPr="00C340FB">
        <w:rPr>
          <w:rFonts w:eastAsiaTheme="minorEastAsia"/>
          <w:noProof/>
        </w:rPr>
        <w:t>Положення про ліцензування та реєстрацію надавачів фінансових послуг та умови провадження ними діяльності з надання фінансових послуг, затверджене постановою Правління Національного банку України від 24</w:t>
      </w:r>
      <w:r w:rsidR="00FA38D4">
        <w:rPr>
          <w:rFonts w:eastAsiaTheme="minorEastAsia"/>
          <w:noProof/>
        </w:rPr>
        <w:t xml:space="preserve"> грудня </w:t>
      </w:r>
      <w:r w:rsidRPr="00C340FB">
        <w:rPr>
          <w:rFonts w:eastAsiaTheme="minorEastAsia"/>
          <w:noProof/>
        </w:rPr>
        <w:t xml:space="preserve">2021 </w:t>
      </w:r>
      <w:r w:rsidR="00FA38D4">
        <w:rPr>
          <w:rFonts w:eastAsiaTheme="minorEastAsia"/>
          <w:noProof/>
        </w:rPr>
        <w:t xml:space="preserve">року </w:t>
      </w:r>
      <w:r w:rsidRPr="00C340FB">
        <w:rPr>
          <w:rFonts w:eastAsiaTheme="minorEastAsia"/>
          <w:noProof/>
        </w:rPr>
        <w:t>№ 153 (зі змінами) (далі – Постанова 153),</w:t>
      </w:r>
      <w:r w:rsidRPr="00C340FB">
        <w:rPr>
          <w:bCs/>
          <w:lang w:eastAsia="zh-CN"/>
        </w:rPr>
        <w:t xml:space="preserve"> </w:t>
      </w:r>
      <w:r w:rsidR="002A183D" w:rsidRPr="00C340FB">
        <w:rPr>
          <w:bCs/>
          <w:lang w:eastAsia="zh-CN"/>
        </w:rPr>
        <w:t xml:space="preserve">яке потребує приведення у відповідність із Законом про страхування та </w:t>
      </w:r>
      <w:r w:rsidR="00380D15">
        <w:rPr>
          <w:bCs/>
          <w:lang w:eastAsia="zh-CN"/>
        </w:rPr>
        <w:t>в</w:t>
      </w:r>
      <w:r w:rsidR="00380D15" w:rsidRPr="00C340FB">
        <w:rPr>
          <w:bCs/>
          <w:lang w:eastAsia="zh-CN"/>
        </w:rPr>
        <w:t xml:space="preserve"> </w:t>
      </w:r>
      <w:r w:rsidR="00FA38D4">
        <w:rPr>
          <w:bCs/>
          <w:lang w:eastAsia="zh-CN"/>
        </w:rPr>
        <w:t xml:space="preserve">розділі </w:t>
      </w:r>
      <w:r w:rsidR="00FA38D4">
        <w:rPr>
          <w:bCs/>
          <w:lang w:val="en-US" w:eastAsia="zh-CN"/>
        </w:rPr>
        <w:t>II</w:t>
      </w:r>
      <w:r w:rsidR="00FA38D4">
        <w:rPr>
          <w:bCs/>
          <w:lang w:val="ru-RU" w:eastAsia="zh-CN"/>
        </w:rPr>
        <w:t xml:space="preserve"> </w:t>
      </w:r>
      <w:proofErr w:type="spellStart"/>
      <w:r w:rsidR="002A183D" w:rsidRPr="00C340FB">
        <w:rPr>
          <w:bCs/>
          <w:lang w:eastAsia="zh-CN"/>
        </w:rPr>
        <w:t>яко</w:t>
      </w:r>
      <w:r w:rsidR="00FA38D4">
        <w:rPr>
          <w:bCs/>
          <w:lang w:val="ru-RU" w:eastAsia="zh-CN"/>
        </w:rPr>
        <w:t>го</w:t>
      </w:r>
      <w:proofErr w:type="spellEnd"/>
      <w:r w:rsidR="00BE4240" w:rsidRPr="00C340FB">
        <w:rPr>
          <w:bCs/>
          <w:lang w:eastAsia="zh-CN"/>
        </w:rPr>
        <w:t>:</w:t>
      </w:r>
    </w:p>
    <w:p w14:paraId="132C6362" w14:textId="02360379" w:rsidR="00BE4240" w:rsidRPr="00C340FB" w:rsidRDefault="00BE4240" w:rsidP="00465490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C340FB">
        <w:rPr>
          <w:bCs/>
          <w:lang w:eastAsia="zh-CN"/>
        </w:rPr>
        <w:t xml:space="preserve">у </w:t>
      </w:r>
      <w:r w:rsidR="00B64C2B" w:rsidRPr="00C340FB">
        <w:rPr>
          <w:bCs/>
          <w:lang w:eastAsia="zh-CN"/>
        </w:rPr>
        <w:t>главі 8</w:t>
      </w:r>
      <w:r w:rsidR="004746AA" w:rsidRPr="00C340FB">
        <w:rPr>
          <w:bCs/>
          <w:lang w:eastAsia="zh-CN"/>
        </w:rPr>
        <w:t xml:space="preserve"> </w:t>
      </w:r>
      <w:r w:rsidR="00B64C2B" w:rsidRPr="00C340FB">
        <w:rPr>
          <w:bCs/>
          <w:lang w:eastAsia="zh-CN"/>
        </w:rPr>
        <w:t xml:space="preserve"> </w:t>
      </w:r>
      <w:r w:rsidRPr="00C340FB">
        <w:rPr>
          <w:bCs/>
          <w:lang w:eastAsia="zh-CN"/>
        </w:rPr>
        <w:t>в</w:t>
      </w:r>
      <w:r w:rsidR="00B64C2B" w:rsidRPr="00C340FB">
        <w:rPr>
          <w:bCs/>
          <w:lang w:eastAsia="zh-CN"/>
        </w:rPr>
        <w:t xml:space="preserve">изначено загальні вимоги до облікової і </w:t>
      </w:r>
      <w:proofErr w:type="spellStart"/>
      <w:r w:rsidR="00B64C2B" w:rsidRPr="00C340FB">
        <w:rPr>
          <w:bCs/>
          <w:lang w:eastAsia="zh-CN"/>
        </w:rPr>
        <w:t>реєструючої</w:t>
      </w:r>
      <w:proofErr w:type="spellEnd"/>
      <w:r w:rsidR="00B64C2B" w:rsidRPr="00C340FB">
        <w:rPr>
          <w:bCs/>
          <w:lang w:eastAsia="zh-CN"/>
        </w:rPr>
        <w:t xml:space="preserve"> систем</w:t>
      </w:r>
      <w:r w:rsidRPr="00C340FB">
        <w:rPr>
          <w:bCs/>
          <w:lang w:eastAsia="zh-CN"/>
        </w:rPr>
        <w:t xml:space="preserve"> надавачів фінансових послуг;</w:t>
      </w:r>
      <w:r w:rsidR="00B64C2B" w:rsidRPr="00C340FB">
        <w:rPr>
          <w:bCs/>
          <w:lang w:eastAsia="zh-CN"/>
        </w:rPr>
        <w:t xml:space="preserve"> </w:t>
      </w:r>
    </w:p>
    <w:p w14:paraId="28ED610C" w14:textId="60A585FB" w:rsidR="007E54EC" w:rsidRPr="00C340FB" w:rsidRDefault="00BE4240" w:rsidP="00465490">
      <w:pPr>
        <w:widowControl w:val="0"/>
        <w:shd w:val="clear" w:color="auto" w:fill="FFFFFF"/>
        <w:ind w:firstLine="686"/>
      </w:pPr>
      <w:r w:rsidRPr="00C340FB">
        <w:rPr>
          <w:bCs/>
          <w:lang w:eastAsia="zh-CN"/>
        </w:rPr>
        <w:t xml:space="preserve">у </w:t>
      </w:r>
      <w:r w:rsidR="00B64C2B" w:rsidRPr="00C340FB">
        <w:rPr>
          <w:bCs/>
          <w:lang w:eastAsia="zh-CN"/>
        </w:rPr>
        <w:t>глав</w:t>
      </w:r>
      <w:r w:rsidRPr="00C340FB">
        <w:rPr>
          <w:bCs/>
          <w:lang w:eastAsia="zh-CN"/>
        </w:rPr>
        <w:t>і</w:t>
      </w:r>
      <w:r w:rsidR="00B64C2B" w:rsidRPr="00C340FB">
        <w:rPr>
          <w:bCs/>
          <w:lang w:eastAsia="zh-CN"/>
        </w:rPr>
        <w:t xml:space="preserve"> 11</w:t>
      </w:r>
      <w:r w:rsidR="004746AA" w:rsidRPr="00C340FB">
        <w:rPr>
          <w:bCs/>
          <w:lang w:eastAsia="zh-CN"/>
        </w:rPr>
        <w:t xml:space="preserve"> </w:t>
      </w:r>
      <w:r w:rsidR="00B64C2B" w:rsidRPr="00C340FB">
        <w:rPr>
          <w:bCs/>
          <w:lang w:eastAsia="zh-CN"/>
        </w:rPr>
        <w:t>встановлено вимоги до ведення страховиками персоніфікованого (індивідуального) обліку договорів страхування життя</w:t>
      </w:r>
      <w:r w:rsidR="007E589C" w:rsidRPr="00C340FB">
        <w:t>.</w:t>
      </w:r>
    </w:p>
    <w:p w14:paraId="35B0D6E9" w14:textId="4911E8B1" w:rsidR="00D556E2" w:rsidRPr="00C340FB" w:rsidRDefault="00D556E2" w:rsidP="00D556E2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C340FB">
        <w:rPr>
          <w:bCs/>
          <w:lang w:eastAsia="zh-CN"/>
        </w:rPr>
        <w:lastRenderedPageBreak/>
        <w:t xml:space="preserve">Отже, є потреба у врегулюванні вищезазначених проблем </w:t>
      </w:r>
      <w:r w:rsidR="00547FC6" w:rsidRPr="00C340FB">
        <w:rPr>
          <w:bCs/>
          <w:lang w:eastAsia="zh-CN"/>
        </w:rPr>
        <w:t xml:space="preserve">шляхом затвердження </w:t>
      </w:r>
      <w:r w:rsidRPr="00C340FB">
        <w:rPr>
          <w:bCs/>
          <w:lang w:eastAsia="zh-CN"/>
        </w:rPr>
        <w:t xml:space="preserve">відповідного </w:t>
      </w:r>
      <w:r w:rsidR="00013898" w:rsidRPr="00C340FB">
        <w:rPr>
          <w:bCs/>
          <w:lang w:eastAsia="zh-CN"/>
        </w:rPr>
        <w:t>регуляторного</w:t>
      </w:r>
      <w:r w:rsidRPr="00C340FB">
        <w:rPr>
          <w:bCs/>
          <w:lang w:eastAsia="zh-CN"/>
        </w:rPr>
        <w:t xml:space="preserve"> акта Національного банку</w:t>
      </w:r>
      <w:r w:rsidR="00F80816" w:rsidRPr="00C340FB">
        <w:rPr>
          <w:bCs/>
          <w:lang w:eastAsia="zh-CN"/>
        </w:rPr>
        <w:t>.</w:t>
      </w:r>
    </w:p>
    <w:p w14:paraId="5C318268" w14:textId="6B95D20D" w:rsidR="004948B8" w:rsidRPr="00C340FB" w:rsidRDefault="0026588B" w:rsidP="00AE1DC8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C340FB">
        <w:rPr>
          <w:bCs/>
          <w:lang w:eastAsia="zh-CN"/>
        </w:rPr>
        <w:t>Суб’єктами, на яких поширюється дія регуляторного акта, є страховики</w:t>
      </w:r>
      <w:r w:rsidR="002A183D" w:rsidRPr="00C340FB">
        <w:rPr>
          <w:bCs/>
          <w:lang w:eastAsia="zh-CN"/>
        </w:rPr>
        <w:t>.</w:t>
      </w:r>
    </w:p>
    <w:p w14:paraId="31C1B846" w14:textId="77777777" w:rsidR="007D73E4" w:rsidRPr="00C340FB" w:rsidRDefault="00F33971" w:rsidP="009E13EB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 xml:space="preserve">Проблема, яку пропонується розв’язати шляхом державного регулювання, </w:t>
      </w:r>
      <w:r w:rsidR="002A183D" w:rsidRPr="00C340FB">
        <w:rPr>
          <w:lang w:eastAsia="zh-CN"/>
        </w:rPr>
        <w:t xml:space="preserve">у разі її </w:t>
      </w:r>
      <w:proofErr w:type="spellStart"/>
      <w:r w:rsidR="002A183D" w:rsidRPr="00C340FB">
        <w:rPr>
          <w:lang w:eastAsia="zh-CN"/>
        </w:rPr>
        <w:t>невирішення</w:t>
      </w:r>
      <w:proofErr w:type="spellEnd"/>
      <w:r w:rsidR="002A183D" w:rsidRPr="00C340FB">
        <w:rPr>
          <w:lang w:eastAsia="zh-CN"/>
        </w:rPr>
        <w:t xml:space="preserve"> спричинить ситуацію, що матиме негативний вплив на діяльність страховиків. </w:t>
      </w:r>
    </w:p>
    <w:p w14:paraId="1E472258" w14:textId="77777777" w:rsidR="007E54EC" w:rsidRPr="00C340FB" w:rsidRDefault="007E54EC" w:rsidP="009E13EB">
      <w:pPr>
        <w:widowControl w:val="0"/>
        <w:shd w:val="clear" w:color="auto" w:fill="FFFFFF"/>
        <w:ind w:firstLine="686"/>
        <w:rPr>
          <w:bCs/>
          <w:lang w:eastAsia="zh-CN"/>
        </w:rPr>
      </w:pPr>
    </w:p>
    <w:p w14:paraId="29FD57D2" w14:textId="77777777" w:rsidR="00697AFA" w:rsidRPr="00C340FB" w:rsidRDefault="00697AFA" w:rsidP="00C34681">
      <w:pPr>
        <w:pStyle w:val="1"/>
        <w:rPr>
          <w:rFonts w:cs="Times New Roman"/>
          <w:szCs w:val="28"/>
          <w:lang w:eastAsia="zh-CN"/>
        </w:rPr>
      </w:pPr>
      <w:r w:rsidRPr="00C340FB">
        <w:rPr>
          <w:rFonts w:cs="Times New Roman"/>
          <w:szCs w:val="28"/>
          <w:lang w:eastAsia="zh-CN"/>
        </w:rPr>
        <w:t xml:space="preserve">ІІ. Визначення цілей державного регулювання </w:t>
      </w:r>
    </w:p>
    <w:p w14:paraId="771EE28F" w14:textId="4F18A777" w:rsidR="0083584A" w:rsidRPr="00C340FB" w:rsidRDefault="00697AFA" w:rsidP="00D16616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Цілями державного регулювання, що безпосередньо пов’язані з розв’язанням зазначен</w:t>
      </w:r>
      <w:r w:rsidR="004D2E1D" w:rsidRPr="00C340FB">
        <w:rPr>
          <w:lang w:eastAsia="zh-CN"/>
        </w:rPr>
        <w:t>ої</w:t>
      </w:r>
      <w:r w:rsidRPr="00C340FB">
        <w:rPr>
          <w:lang w:eastAsia="zh-CN"/>
        </w:rPr>
        <w:t xml:space="preserve"> проблем</w:t>
      </w:r>
      <w:r w:rsidR="004D2E1D" w:rsidRPr="00C340FB">
        <w:rPr>
          <w:lang w:eastAsia="zh-CN"/>
        </w:rPr>
        <w:t>и</w:t>
      </w:r>
      <w:r w:rsidRPr="00C340FB">
        <w:rPr>
          <w:lang w:eastAsia="zh-CN"/>
        </w:rPr>
        <w:t xml:space="preserve">, є </w:t>
      </w:r>
      <w:r w:rsidR="007F5585" w:rsidRPr="00C340FB">
        <w:rPr>
          <w:lang w:eastAsia="zh-CN"/>
        </w:rPr>
        <w:t>в</w:t>
      </w:r>
      <w:r w:rsidR="00A122B3" w:rsidRPr="00C340FB">
        <w:rPr>
          <w:lang w:eastAsia="zh-CN"/>
        </w:rPr>
        <w:t xml:space="preserve">становлення </w:t>
      </w:r>
      <w:r w:rsidR="002242A6" w:rsidRPr="00C340FB">
        <w:rPr>
          <w:lang w:eastAsia="zh-CN"/>
        </w:rPr>
        <w:t xml:space="preserve">єдиних вимог і </w:t>
      </w:r>
      <w:r w:rsidR="00A122B3" w:rsidRPr="00C340FB">
        <w:rPr>
          <w:lang w:eastAsia="zh-CN"/>
        </w:rPr>
        <w:t>порядку</w:t>
      </w:r>
      <w:r w:rsidR="002242A6" w:rsidRPr="00C340FB">
        <w:rPr>
          <w:lang w:eastAsia="zh-CN"/>
        </w:rPr>
        <w:t xml:space="preserve"> ведення </w:t>
      </w:r>
      <w:r w:rsidR="0082422F" w:rsidRPr="00C340FB">
        <w:rPr>
          <w:lang w:eastAsia="zh-CN"/>
        </w:rPr>
        <w:t xml:space="preserve">страховиком в електронному вигляді в своїх інформаційних системах </w:t>
      </w:r>
      <w:r w:rsidR="002242A6" w:rsidRPr="00C340FB">
        <w:rPr>
          <w:lang w:eastAsia="zh-CN"/>
        </w:rPr>
        <w:t xml:space="preserve">обліку операцій </w:t>
      </w:r>
      <w:r w:rsidR="000E7E3C" w:rsidRPr="00C340FB">
        <w:rPr>
          <w:lang w:eastAsia="zh-CN"/>
        </w:rPr>
        <w:t xml:space="preserve">зі </w:t>
      </w:r>
      <w:r w:rsidR="00A122B3" w:rsidRPr="00C340FB">
        <w:rPr>
          <w:lang w:eastAsia="zh-CN"/>
        </w:rPr>
        <w:t>страх</w:t>
      </w:r>
      <w:r w:rsidR="000E7E3C" w:rsidRPr="00C340FB">
        <w:rPr>
          <w:lang w:eastAsia="zh-CN"/>
        </w:rPr>
        <w:t>ування</w:t>
      </w:r>
      <w:r w:rsidR="00437B13" w:rsidRPr="00C340FB">
        <w:rPr>
          <w:lang w:eastAsia="zh-CN"/>
        </w:rPr>
        <w:t xml:space="preserve"> щодо уклад</w:t>
      </w:r>
      <w:r w:rsidR="00380D15">
        <w:rPr>
          <w:lang w:eastAsia="zh-CN"/>
        </w:rPr>
        <w:t>а</w:t>
      </w:r>
      <w:r w:rsidR="00437B13" w:rsidRPr="00C340FB">
        <w:rPr>
          <w:lang w:eastAsia="zh-CN"/>
        </w:rPr>
        <w:t>ння, обслуговування та виконання договорів страхування (перестрахування)</w:t>
      </w:r>
      <w:r w:rsidR="002242A6" w:rsidRPr="00C340FB">
        <w:rPr>
          <w:lang w:eastAsia="zh-CN"/>
        </w:rPr>
        <w:t xml:space="preserve"> за класами страхування життя чи класами страхування</w:t>
      </w:r>
      <w:r w:rsidR="004379AA" w:rsidRPr="00C340FB">
        <w:rPr>
          <w:lang w:eastAsia="zh-CN"/>
        </w:rPr>
        <w:t>, іншими, ніж страхування життя</w:t>
      </w:r>
      <w:r w:rsidR="002242A6" w:rsidRPr="00C340FB">
        <w:rPr>
          <w:lang w:eastAsia="zh-CN"/>
        </w:rPr>
        <w:t>,</w:t>
      </w:r>
      <w:r w:rsidR="00A122B3" w:rsidRPr="00C340FB">
        <w:rPr>
          <w:lang w:eastAsia="zh-CN"/>
        </w:rPr>
        <w:t xml:space="preserve"> </w:t>
      </w:r>
      <w:r w:rsidR="00437B13" w:rsidRPr="00C340FB">
        <w:rPr>
          <w:lang w:eastAsia="zh-CN"/>
        </w:rPr>
        <w:t xml:space="preserve">обліку інших договорів та операцій, пов’язаних зі здійсненням страховиком діяльності із страхування, </w:t>
      </w:r>
      <w:r w:rsidR="002242A6" w:rsidRPr="00C340FB">
        <w:rPr>
          <w:lang w:eastAsia="zh-CN"/>
        </w:rPr>
        <w:t>забезпеч</w:t>
      </w:r>
      <w:r w:rsidR="00D16616" w:rsidRPr="00C340FB">
        <w:rPr>
          <w:lang w:eastAsia="zh-CN"/>
        </w:rPr>
        <w:t>ення</w:t>
      </w:r>
      <w:r w:rsidR="002242A6" w:rsidRPr="00C340FB">
        <w:rPr>
          <w:lang w:eastAsia="zh-CN"/>
        </w:rPr>
        <w:t xml:space="preserve"> </w:t>
      </w:r>
      <w:r w:rsidR="00585E53" w:rsidRPr="00C340FB">
        <w:rPr>
          <w:lang w:eastAsia="zh-CN"/>
        </w:rPr>
        <w:t>реалізаці</w:t>
      </w:r>
      <w:r w:rsidR="00D16616" w:rsidRPr="00C340FB">
        <w:rPr>
          <w:lang w:eastAsia="zh-CN"/>
        </w:rPr>
        <w:t>ї</w:t>
      </w:r>
      <w:r w:rsidR="007056AF" w:rsidRPr="00C340FB">
        <w:rPr>
          <w:lang w:eastAsia="zh-CN"/>
        </w:rPr>
        <w:t xml:space="preserve"> </w:t>
      </w:r>
      <w:r w:rsidR="002242A6" w:rsidRPr="00C340FB">
        <w:rPr>
          <w:lang w:eastAsia="zh-CN"/>
        </w:rPr>
        <w:t>положень</w:t>
      </w:r>
      <w:r w:rsidR="007056AF" w:rsidRPr="00C340FB">
        <w:rPr>
          <w:lang w:eastAsia="zh-CN"/>
        </w:rPr>
        <w:t xml:space="preserve"> Закону про страхування</w:t>
      </w:r>
      <w:r w:rsidR="002242A6" w:rsidRPr="00C340FB">
        <w:rPr>
          <w:lang w:eastAsia="zh-CN"/>
        </w:rPr>
        <w:t xml:space="preserve">, </w:t>
      </w:r>
      <w:r w:rsidR="009F68D7" w:rsidRPr="00C340FB">
        <w:rPr>
          <w:lang w:eastAsia="zh-CN"/>
        </w:rPr>
        <w:t>визнач</w:t>
      </w:r>
      <w:r w:rsidR="00287B5E" w:rsidRPr="00C340FB">
        <w:rPr>
          <w:lang w:eastAsia="zh-CN"/>
        </w:rPr>
        <w:t>ення</w:t>
      </w:r>
      <w:r w:rsidR="009F68D7" w:rsidRPr="00C340FB">
        <w:rPr>
          <w:lang w:eastAsia="zh-CN"/>
        </w:rPr>
        <w:t xml:space="preserve"> вимог до</w:t>
      </w:r>
      <w:r w:rsidR="00A122B3" w:rsidRPr="00C340FB">
        <w:rPr>
          <w:lang w:eastAsia="zh-CN"/>
        </w:rPr>
        <w:t xml:space="preserve"> захисту інформації </w:t>
      </w:r>
      <w:r w:rsidR="003F23C3" w:rsidRPr="00C340FB">
        <w:rPr>
          <w:lang w:eastAsia="zh-CN"/>
        </w:rPr>
        <w:t>страховика</w:t>
      </w:r>
      <w:r w:rsidR="002242A6" w:rsidRPr="00C340FB">
        <w:rPr>
          <w:lang w:eastAsia="zh-CN"/>
        </w:rPr>
        <w:t xml:space="preserve">, </w:t>
      </w:r>
      <w:r w:rsidR="009F68D7" w:rsidRPr="00C340FB">
        <w:rPr>
          <w:lang w:eastAsia="zh-CN"/>
        </w:rPr>
        <w:t>а також</w:t>
      </w:r>
      <w:r w:rsidR="00A122B3" w:rsidRPr="00C340FB">
        <w:rPr>
          <w:lang w:eastAsia="zh-CN"/>
        </w:rPr>
        <w:t xml:space="preserve"> забезпеч</w:t>
      </w:r>
      <w:r w:rsidR="00287B5E" w:rsidRPr="00C340FB">
        <w:rPr>
          <w:lang w:eastAsia="zh-CN"/>
        </w:rPr>
        <w:t>ення</w:t>
      </w:r>
      <w:r w:rsidR="00A122B3" w:rsidRPr="00C340FB">
        <w:rPr>
          <w:lang w:eastAsia="zh-CN"/>
        </w:rPr>
        <w:t xml:space="preserve"> можлив</w:t>
      </w:r>
      <w:r w:rsidR="00287B5E" w:rsidRPr="00C340FB">
        <w:rPr>
          <w:lang w:eastAsia="zh-CN"/>
        </w:rPr>
        <w:t>о</w:t>
      </w:r>
      <w:r w:rsidR="00A122B3" w:rsidRPr="00C340FB">
        <w:rPr>
          <w:lang w:eastAsia="zh-CN"/>
        </w:rPr>
        <w:t>ст</w:t>
      </w:r>
      <w:r w:rsidR="00287B5E" w:rsidRPr="00C340FB">
        <w:rPr>
          <w:lang w:eastAsia="zh-CN"/>
        </w:rPr>
        <w:t>і</w:t>
      </w:r>
      <w:r w:rsidR="00A122B3" w:rsidRPr="00C340FB">
        <w:rPr>
          <w:lang w:eastAsia="zh-CN"/>
        </w:rPr>
        <w:t xml:space="preserve"> </w:t>
      </w:r>
      <w:r w:rsidR="0032191A" w:rsidRPr="00C340FB">
        <w:rPr>
          <w:lang w:eastAsia="zh-CN"/>
        </w:rPr>
        <w:t xml:space="preserve">здійснення Національним банком </w:t>
      </w:r>
      <w:r w:rsidR="00A41F28" w:rsidRPr="00C340FB">
        <w:rPr>
          <w:shd w:val="clear" w:color="auto" w:fill="FFFFFF"/>
        </w:rPr>
        <w:t>державного регулювання та нагляду за діяльністю</w:t>
      </w:r>
      <w:r w:rsidR="00A41F28" w:rsidRPr="00C340FB">
        <w:rPr>
          <w:lang w:eastAsia="zh-CN"/>
        </w:rPr>
        <w:t xml:space="preserve"> </w:t>
      </w:r>
      <w:r w:rsidR="003F34C0" w:rsidRPr="00C340FB">
        <w:rPr>
          <w:lang w:eastAsia="zh-CN"/>
        </w:rPr>
        <w:t xml:space="preserve">у сфері страхування </w:t>
      </w:r>
      <w:r w:rsidR="00A41F28" w:rsidRPr="00C340FB">
        <w:rPr>
          <w:lang w:eastAsia="zh-CN"/>
        </w:rPr>
        <w:t>та</w:t>
      </w:r>
      <w:r w:rsidR="0032191A" w:rsidRPr="00C340FB">
        <w:rPr>
          <w:lang w:eastAsia="zh-CN"/>
        </w:rPr>
        <w:t xml:space="preserve"> захист</w:t>
      </w:r>
      <w:r w:rsidR="00287B5E" w:rsidRPr="00C340FB">
        <w:rPr>
          <w:lang w:eastAsia="zh-CN"/>
        </w:rPr>
        <w:t>у</w:t>
      </w:r>
      <w:r w:rsidR="0032191A" w:rsidRPr="00C340FB">
        <w:rPr>
          <w:lang w:eastAsia="zh-CN"/>
        </w:rPr>
        <w:t xml:space="preserve"> прав </w:t>
      </w:r>
      <w:r w:rsidR="00585E53" w:rsidRPr="00C340FB">
        <w:rPr>
          <w:shd w:val="clear" w:color="auto" w:fill="FFFFFF"/>
        </w:rPr>
        <w:t>та законних інтересів клієнтів</w:t>
      </w:r>
      <w:r w:rsidR="0032191A" w:rsidRPr="00C340FB">
        <w:rPr>
          <w:lang w:eastAsia="zh-CN"/>
        </w:rPr>
        <w:t>.</w:t>
      </w:r>
    </w:p>
    <w:p w14:paraId="76E68EE4" w14:textId="77777777" w:rsidR="00FC1F46" w:rsidRPr="00C340FB" w:rsidRDefault="00FC1F46" w:rsidP="00697AFA">
      <w:pPr>
        <w:widowControl w:val="0"/>
        <w:shd w:val="clear" w:color="auto" w:fill="FFFFFF"/>
        <w:ind w:firstLine="686"/>
        <w:rPr>
          <w:lang w:eastAsia="zh-CN"/>
        </w:rPr>
      </w:pPr>
    </w:p>
    <w:p w14:paraId="0604C647" w14:textId="4CB93E91" w:rsidR="00880C0D" w:rsidRPr="00C340FB" w:rsidRDefault="00880C0D" w:rsidP="00C34681">
      <w:pPr>
        <w:pStyle w:val="1"/>
        <w:rPr>
          <w:rFonts w:cs="Times New Roman"/>
          <w:szCs w:val="28"/>
          <w:lang w:eastAsia="zh-CN"/>
        </w:rPr>
      </w:pPr>
      <w:r w:rsidRPr="00C340FB">
        <w:rPr>
          <w:rFonts w:cs="Times New Roman"/>
          <w:szCs w:val="28"/>
          <w:lang w:eastAsia="zh-CN"/>
        </w:rPr>
        <w:t xml:space="preserve">ІІІ. Визначення та оцінка всіх прийнятних альтернативних способів досягнення </w:t>
      </w:r>
      <w:r w:rsidR="00D034E3" w:rsidRPr="00200036">
        <w:rPr>
          <w:lang w:eastAsia="zh-CN"/>
        </w:rPr>
        <w:t>зазначених цілей, наведення аргументів щодо переваги обраного способу</w:t>
      </w:r>
    </w:p>
    <w:p w14:paraId="0037589B" w14:textId="77777777" w:rsidR="00AF74C6" w:rsidRPr="00C340FB" w:rsidRDefault="009A070C" w:rsidP="00AF74C6">
      <w:pPr>
        <w:widowControl w:val="0"/>
        <w:shd w:val="clear" w:color="auto" w:fill="FFFFFF"/>
        <w:ind w:firstLine="686"/>
        <w:rPr>
          <w:lang w:eastAsia="en-US"/>
        </w:rPr>
      </w:pPr>
      <w:r w:rsidRPr="00C340FB">
        <w:rPr>
          <w:bCs/>
          <w:lang w:eastAsia="ru-RU"/>
        </w:rPr>
        <w:t xml:space="preserve">Одним із </w:t>
      </w:r>
      <w:r w:rsidR="00AF74C6" w:rsidRPr="00C340FB">
        <w:rPr>
          <w:bCs/>
          <w:lang w:eastAsia="ru-RU"/>
        </w:rPr>
        <w:t>способ</w:t>
      </w:r>
      <w:r w:rsidRPr="00C340FB">
        <w:rPr>
          <w:bCs/>
          <w:lang w:eastAsia="ru-RU"/>
        </w:rPr>
        <w:t>ів</w:t>
      </w:r>
      <w:r w:rsidR="00AF74C6" w:rsidRPr="00C340FB">
        <w:rPr>
          <w:bCs/>
          <w:lang w:eastAsia="ru-RU"/>
        </w:rPr>
        <w:t xml:space="preserve"> </w:t>
      </w:r>
      <w:r w:rsidR="00AF74C6" w:rsidRPr="00C340FB">
        <w:rPr>
          <w:lang w:eastAsia="ru-RU"/>
        </w:rPr>
        <w:t>досягнення зазначених цілей може бути залишення наявного стану законодавства України</w:t>
      </w:r>
      <w:r w:rsidR="00F97BB8" w:rsidRPr="00C340FB">
        <w:rPr>
          <w:rFonts w:eastAsia="Calibri"/>
          <w:lang w:eastAsia="en-US"/>
        </w:rPr>
        <w:t>.</w:t>
      </w:r>
    </w:p>
    <w:p w14:paraId="664ED85F" w14:textId="77777777" w:rsidR="00AF74C6" w:rsidRPr="00C340FB" w:rsidRDefault="00AF74C6" w:rsidP="00AF74C6">
      <w:pPr>
        <w:widowControl w:val="0"/>
        <w:shd w:val="clear" w:color="auto" w:fill="FFFFFF"/>
        <w:ind w:firstLine="686"/>
        <w:rPr>
          <w:rFonts w:eastAsia="Calibri"/>
          <w:lang w:eastAsia="en-US"/>
        </w:rPr>
      </w:pPr>
      <w:r w:rsidRPr="00C340FB">
        <w:rPr>
          <w:rFonts w:eastAsia="Calibri"/>
          <w:lang w:eastAsia="en-US"/>
        </w:rPr>
        <w:t xml:space="preserve">Перевагами цього способу є збереження наявного стану законодавства України, а саме застосування </w:t>
      </w:r>
      <w:r w:rsidR="00504996" w:rsidRPr="00C340FB">
        <w:rPr>
          <w:rFonts w:eastAsia="Calibri"/>
          <w:lang w:eastAsia="en-US"/>
        </w:rPr>
        <w:t xml:space="preserve">страховиками </w:t>
      </w:r>
      <w:r w:rsidR="00360365" w:rsidRPr="00C340FB">
        <w:rPr>
          <w:rFonts w:eastAsia="Calibri"/>
          <w:lang w:eastAsia="en-US"/>
        </w:rPr>
        <w:t xml:space="preserve">норм </w:t>
      </w:r>
      <w:r w:rsidRPr="00C340FB">
        <w:rPr>
          <w:rFonts w:eastAsia="Calibri"/>
          <w:lang w:eastAsia="en-US"/>
        </w:rPr>
        <w:t>чинн</w:t>
      </w:r>
      <w:r w:rsidR="009F68D7" w:rsidRPr="00C340FB">
        <w:rPr>
          <w:rFonts w:eastAsia="Calibri"/>
          <w:lang w:eastAsia="en-US"/>
        </w:rPr>
        <w:t>ої Постанови 153</w:t>
      </w:r>
      <w:r w:rsidR="00504996" w:rsidRPr="00C340FB">
        <w:rPr>
          <w:rFonts w:eastAsia="Calibri"/>
          <w:lang w:eastAsia="en-US"/>
        </w:rPr>
        <w:t>, до якої страховики адаптували свою діяльність</w:t>
      </w:r>
      <w:r w:rsidR="00775409" w:rsidRPr="00C340FB">
        <w:rPr>
          <w:lang w:eastAsia="ru-RU"/>
        </w:rPr>
        <w:t>.</w:t>
      </w:r>
    </w:p>
    <w:p w14:paraId="79CF98D7" w14:textId="4D01D27A" w:rsidR="00CD6609" w:rsidRPr="00C340FB" w:rsidRDefault="00AF74C6" w:rsidP="00AF74C6">
      <w:pPr>
        <w:widowControl w:val="0"/>
        <w:shd w:val="clear" w:color="auto" w:fill="FFFFFF"/>
        <w:ind w:firstLine="686"/>
        <w:rPr>
          <w:rFonts w:eastAsia="Calibri"/>
          <w:lang w:eastAsia="en-US"/>
        </w:rPr>
      </w:pPr>
      <w:r w:rsidRPr="00C340FB">
        <w:rPr>
          <w:rFonts w:eastAsia="Calibri"/>
          <w:lang w:eastAsia="en-US"/>
        </w:rPr>
        <w:t xml:space="preserve">Однак </w:t>
      </w:r>
      <w:r w:rsidR="00380D15">
        <w:rPr>
          <w:lang w:eastAsia="ru-RU"/>
        </w:rPr>
        <w:t>цей</w:t>
      </w:r>
      <w:r w:rsidR="00380D15" w:rsidRPr="00C340FB">
        <w:rPr>
          <w:lang w:eastAsia="ru-RU"/>
        </w:rPr>
        <w:t xml:space="preserve"> </w:t>
      </w:r>
      <w:r w:rsidR="00050617" w:rsidRPr="00C340FB">
        <w:rPr>
          <w:lang w:eastAsia="ru-RU"/>
        </w:rPr>
        <w:t xml:space="preserve">спосіб </w:t>
      </w:r>
      <w:r w:rsidR="00050617" w:rsidRPr="00C340FB">
        <w:rPr>
          <w:rFonts w:eastAsia="Calibri"/>
          <w:lang w:eastAsia="en-US"/>
        </w:rPr>
        <w:t xml:space="preserve">не </w:t>
      </w:r>
      <w:r w:rsidR="00775409" w:rsidRPr="00C340FB">
        <w:rPr>
          <w:rFonts w:eastAsia="Calibri"/>
          <w:lang w:eastAsia="en-US"/>
        </w:rPr>
        <w:t>забезпечує реалізацію положень</w:t>
      </w:r>
      <w:r w:rsidR="00050617" w:rsidRPr="00C340FB">
        <w:rPr>
          <w:rFonts w:eastAsia="Calibri"/>
          <w:lang w:eastAsia="en-US"/>
        </w:rPr>
        <w:t xml:space="preserve"> Закону про страхування </w:t>
      </w:r>
      <w:r w:rsidR="00775409" w:rsidRPr="00C340FB">
        <w:rPr>
          <w:rFonts w:eastAsia="Calibri"/>
          <w:lang w:eastAsia="en-US"/>
        </w:rPr>
        <w:t>та</w:t>
      </w:r>
      <w:r w:rsidRPr="00C340FB">
        <w:rPr>
          <w:rFonts w:eastAsia="Calibri"/>
          <w:lang w:eastAsia="en-US"/>
        </w:rPr>
        <w:t xml:space="preserve"> </w:t>
      </w:r>
      <w:r w:rsidR="007155DF" w:rsidRPr="00C340FB">
        <w:rPr>
          <w:rFonts w:eastAsia="Calibri"/>
          <w:lang w:eastAsia="en-US"/>
        </w:rPr>
        <w:t>врегул</w:t>
      </w:r>
      <w:r w:rsidR="00775409" w:rsidRPr="00C340FB">
        <w:rPr>
          <w:rFonts w:eastAsia="Calibri"/>
          <w:lang w:eastAsia="en-US"/>
        </w:rPr>
        <w:t>ювання</w:t>
      </w:r>
      <w:r w:rsidR="007155DF" w:rsidRPr="00C340FB">
        <w:rPr>
          <w:rFonts w:eastAsia="Calibri"/>
          <w:lang w:eastAsia="en-US"/>
        </w:rPr>
        <w:t xml:space="preserve"> </w:t>
      </w:r>
      <w:r w:rsidR="007056AF" w:rsidRPr="00C340FB">
        <w:rPr>
          <w:rFonts w:eastAsia="Calibri"/>
          <w:lang w:eastAsia="en-US"/>
        </w:rPr>
        <w:t xml:space="preserve">вимог до </w:t>
      </w:r>
      <w:r w:rsidR="00871342" w:rsidRPr="00C340FB">
        <w:rPr>
          <w:rFonts w:eastAsia="Calibri"/>
          <w:lang w:eastAsia="en-US"/>
        </w:rPr>
        <w:t xml:space="preserve">ведення страховиками </w:t>
      </w:r>
      <w:r w:rsidR="007155DF" w:rsidRPr="00C340FB">
        <w:rPr>
          <w:rFonts w:eastAsia="Calibri"/>
          <w:lang w:eastAsia="en-US"/>
        </w:rPr>
        <w:t xml:space="preserve">обліку </w:t>
      </w:r>
      <w:r w:rsidR="00437B13" w:rsidRPr="00C340FB">
        <w:rPr>
          <w:rFonts w:eastAsia="Calibri"/>
          <w:lang w:eastAsia="en-US"/>
        </w:rPr>
        <w:t>договорів, пов’язаних зі здійсненням діяльності із страхування</w:t>
      </w:r>
      <w:r w:rsidR="007155DF" w:rsidRPr="00C340FB">
        <w:rPr>
          <w:rFonts w:eastAsia="Calibri"/>
          <w:lang w:eastAsia="en-US"/>
        </w:rPr>
        <w:t xml:space="preserve">, обліку зобов’язань страховика, </w:t>
      </w:r>
      <w:r w:rsidR="00380D15">
        <w:rPr>
          <w:rFonts w:eastAsia="Calibri"/>
          <w:lang w:eastAsia="en-US"/>
        </w:rPr>
        <w:t>в</w:t>
      </w:r>
      <w:r w:rsidR="007155DF" w:rsidRPr="00C340FB">
        <w:rPr>
          <w:rFonts w:eastAsia="Calibri"/>
          <w:lang w:eastAsia="en-US"/>
        </w:rPr>
        <w:t xml:space="preserve">ключаючи облік заявлених вимог на здійснення страхової </w:t>
      </w:r>
      <w:r w:rsidR="007155DF" w:rsidRPr="007227BE">
        <w:rPr>
          <w:rFonts w:eastAsia="Calibri"/>
          <w:spacing w:val="-2"/>
          <w:lang w:eastAsia="en-US"/>
        </w:rPr>
        <w:t>виплати, забезпечення захисту інформації</w:t>
      </w:r>
      <w:r w:rsidR="007155DF" w:rsidRPr="00C340FB">
        <w:rPr>
          <w:rFonts w:eastAsia="Calibri"/>
          <w:lang w:eastAsia="en-US"/>
        </w:rPr>
        <w:t xml:space="preserve"> страховика</w:t>
      </w:r>
      <w:r w:rsidR="00153455" w:rsidRPr="00C340FB">
        <w:rPr>
          <w:rFonts w:eastAsia="Calibri"/>
          <w:lang w:eastAsia="en-US"/>
        </w:rPr>
        <w:t xml:space="preserve">, </w:t>
      </w:r>
      <w:r w:rsidR="00871342" w:rsidRPr="00C340FB">
        <w:rPr>
          <w:rFonts w:eastAsia="Calibri"/>
          <w:lang w:eastAsia="en-US"/>
        </w:rPr>
        <w:t>які призведуть</w:t>
      </w:r>
      <w:r w:rsidR="00153455" w:rsidRPr="00C340FB">
        <w:rPr>
          <w:rFonts w:eastAsia="Calibri"/>
          <w:lang w:eastAsia="en-US"/>
        </w:rPr>
        <w:t xml:space="preserve"> до</w:t>
      </w:r>
      <w:r w:rsidR="000B6A20" w:rsidRPr="00C340FB">
        <w:rPr>
          <w:rFonts w:eastAsia="Calibri"/>
          <w:lang w:eastAsia="en-US"/>
        </w:rPr>
        <w:t xml:space="preserve"> неможливості </w:t>
      </w:r>
      <w:r w:rsidR="00153455" w:rsidRPr="00C340FB">
        <w:rPr>
          <w:rFonts w:eastAsia="Calibri"/>
          <w:lang w:eastAsia="en-US"/>
        </w:rPr>
        <w:t>Національним банком</w:t>
      </w:r>
      <w:r w:rsidR="000B6A20" w:rsidRPr="00C340FB">
        <w:rPr>
          <w:rFonts w:eastAsia="Calibri"/>
          <w:lang w:eastAsia="en-US"/>
        </w:rPr>
        <w:t xml:space="preserve"> реалізувати свої повноваження</w:t>
      </w:r>
      <w:r w:rsidRPr="00C340FB">
        <w:rPr>
          <w:rFonts w:eastAsia="Calibri"/>
          <w:lang w:eastAsia="en-US"/>
        </w:rPr>
        <w:t>.</w:t>
      </w:r>
    </w:p>
    <w:p w14:paraId="2C2760A6" w14:textId="59F47DC4" w:rsidR="00775409" w:rsidRPr="00B53337" w:rsidRDefault="00BA1DC5" w:rsidP="00AF74C6">
      <w:pPr>
        <w:widowControl w:val="0"/>
        <w:shd w:val="clear" w:color="auto" w:fill="FFFFFF"/>
        <w:ind w:firstLine="686"/>
        <w:rPr>
          <w:rFonts w:eastAsia="Calibri"/>
          <w:lang w:eastAsia="en-US"/>
        </w:rPr>
      </w:pPr>
      <w:r w:rsidRPr="00B53337">
        <w:rPr>
          <w:rFonts w:eastAsia="Calibri"/>
          <w:lang w:eastAsia="en-US"/>
        </w:rPr>
        <w:t>В</w:t>
      </w:r>
      <w:r w:rsidR="00380D15">
        <w:rPr>
          <w:rFonts w:eastAsia="Calibri"/>
          <w:lang w:eastAsia="en-US"/>
        </w:rPr>
        <w:t>одночас</w:t>
      </w:r>
      <w:r w:rsidRPr="00B53337">
        <w:rPr>
          <w:rFonts w:eastAsia="Calibri"/>
          <w:lang w:eastAsia="en-US"/>
        </w:rPr>
        <w:t xml:space="preserve"> п</w:t>
      </w:r>
      <w:r w:rsidR="00775409" w:rsidRPr="00B53337">
        <w:rPr>
          <w:rFonts w:eastAsia="Calibri"/>
          <w:lang w:eastAsia="en-US"/>
        </w:rPr>
        <w:t xml:space="preserve">оложення </w:t>
      </w:r>
      <w:r w:rsidR="00775409" w:rsidRPr="007227BE">
        <w:rPr>
          <w:rFonts w:eastAsia="Calibri"/>
          <w:spacing w:val="-2"/>
          <w:lang w:eastAsia="en-US"/>
        </w:rPr>
        <w:t xml:space="preserve">Постанови 153 </w:t>
      </w:r>
      <w:r w:rsidRPr="007227BE">
        <w:rPr>
          <w:rFonts w:eastAsia="Calibri"/>
          <w:spacing w:val="-2"/>
          <w:lang w:eastAsia="en-US"/>
        </w:rPr>
        <w:t xml:space="preserve">будуть приведені </w:t>
      </w:r>
      <w:r w:rsidR="00775409" w:rsidRPr="007227BE">
        <w:rPr>
          <w:rFonts w:eastAsia="Calibri"/>
          <w:spacing w:val="-2"/>
          <w:lang w:eastAsia="en-US"/>
        </w:rPr>
        <w:t>у відповідність, зокрема, але не виключно, із</w:t>
      </w:r>
      <w:r w:rsidR="00775409" w:rsidRPr="00B53337">
        <w:rPr>
          <w:rFonts w:eastAsia="Calibri"/>
          <w:lang w:eastAsia="en-US"/>
        </w:rPr>
        <w:t xml:space="preserve"> положеннями Закону про страхування.</w:t>
      </w:r>
    </w:p>
    <w:p w14:paraId="7DB3938C" w14:textId="77777777" w:rsidR="007D729B" w:rsidRPr="00C340FB" w:rsidRDefault="00AF74C6" w:rsidP="00CD6609">
      <w:pPr>
        <w:widowControl w:val="0"/>
        <w:shd w:val="clear" w:color="auto" w:fill="FFFFFF"/>
        <w:ind w:firstLine="686"/>
        <w:rPr>
          <w:rFonts w:eastAsia="Calibri"/>
          <w:lang w:eastAsia="en-US"/>
        </w:rPr>
      </w:pPr>
      <w:r w:rsidRPr="00C340FB">
        <w:rPr>
          <w:rFonts w:eastAsia="Calibri"/>
          <w:lang w:eastAsia="en-US"/>
        </w:rPr>
        <w:t>Отже, застосування такого способу досягнення цілей та вирішення проблеми таким способом не є прийнятним.</w:t>
      </w:r>
    </w:p>
    <w:p w14:paraId="6D305A7E" w14:textId="77777777" w:rsidR="00880C0D" w:rsidRPr="00C340FB" w:rsidRDefault="007D729B" w:rsidP="000E241B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en-US"/>
        </w:rPr>
        <w:t>А</w:t>
      </w:r>
      <w:r w:rsidR="00207EC3" w:rsidRPr="00C340FB">
        <w:rPr>
          <w:lang w:eastAsia="en-US"/>
        </w:rPr>
        <w:t xml:space="preserve">льтернативним </w:t>
      </w:r>
      <w:r w:rsidR="000E241B" w:rsidRPr="00C340FB">
        <w:rPr>
          <w:lang w:eastAsia="en-US"/>
        </w:rPr>
        <w:t>способом досягнення встановлених цілей є прийняття запропонованого регуляторного акта</w:t>
      </w:r>
      <w:r w:rsidR="00880C0D" w:rsidRPr="00C340FB">
        <w:rPr>
          <w:lang w:eastAsia="zh-CN"/>
        </w:rPr>
        <w:t>.</w:t>
      </w:r>
    </w:p>
    <w:p w14:paraId="730C7EB1" w14:textId="24D1F260" w:rsidR="007B4F57" w:rsidRPr="00C340FB" w:rsidRDefault="00514F6C" w:rsidP="00CB2E73">
      <w:pPr>
        <w:widowControl w:val="0"/>
        <w:shd w:val="clear" w:color="auto" w:fill="FFFFFF"/>
        <w:ind w:firstLine="686"/>
        <w:rPr>
          <w:lang w:eastAsia="en-US"/>
        </w:rPr>
      </w:pPr>
      <w:r w:rsidRPr="00C340FB">
        <w:rPr>
          <w:lang w:eastAsia="en-US"/>
        </w:rPr>
        <w:t xml:space="preserve">Недоліками </w:t>
      </w:r>
      <w:r w:rsidR="006870D2" w:rsidRPr="00C340FB">
        <w:rPr>
          <w:lang w:eastAsia="en-US"/>
        </w:rPr>
        <w:t>запропонованого</w:t>
      </w:r>
      <w:r w:rsidRPr="00C340FB">
        <w:rPr>
          <w:lang w:eastAsia="en-US"/>
        </w:rPr>
        <w:t xml:space="preserve"> способу є витрати страховиків, пов’язані з </w:t>
      </w:r>
      <w:r w:rsidR="00361C2C" w:rsidRPr="00C340FB">
        <w:rPr>
          <w:lang w:eastAsia="en-US"/>
        </w:rPr>
        <w:t>необхідністю</w:t>
      </w:r>
      <w:r w:rsidR="008931B7" w:rsidRPr="00C340FB">
        <w:rPr>
          <w:lang w:eastAsia="en-US"/>
        </w:rPr>
        <w:t xml:space="preserve"> </w:t>
      </w:r>
      <w:r w:rsidR="007B4F57" w:rsidRPr="00C340FB">
        <w:t xml:space="preserve">приведення </w:t>
      </w:r>
      <w:r w:rsidR="00775409" w:rsidRPr="00C340FB">
        <w:t xml:space="preserve">внутрішніх </w:t>
      </w:r>
      <w:r w:rsidR="004746AA" w:rsidRPr="00C340FB">
        <w:t xml:space="preserve">положень </w:t>
      </w:r>
      <w:r w:rsidR="00775409" w:rsidRPr="00C340FB">
        <w:t>(політик</w:t>
      </w:r>
      <w:r w:rsidR="00380D15">
        <w:t>и</w:t>
      </w:r>
      <w:r w:rsidR="00775409" w:rsidRPr="00C340FB">
        <w:t>)</w:t>
      </w:r>
      <w:r w:rsidR="007B4F57" w:rsidRPr="00C340FB">
        <w:t xml:space="preserve"> та </w:t>
      </w:r>
      <w:r w:rsidR="00BA1DC5" w:rsidRPr="00C340FB">
        <w:t>програмного забезпечення</w:t>
      </w:r>
      <w:r w:rsidR="008473BA" w:rsidRPr="00C340FB">
        <w:t xml:space="preserve"> страховиків</w:t>
      </w:r>
      <w:r w:rsidR="007B4F57" w:rsidRPr="00C340FB">
        <w:t xml:space="preserve"> у відповідність до вимог Закону про страхування та </w:t>
      </w:r>
      <w:r w:rsidR="007B4F57" w:rsidRPr="00C340FB">
        <w:rPr>
          <w:lang w:eastAsia="en-US"/>
        </w:rPr>
        <w:lastRenderedPageBreak/>
        <w:t>запропонованого регуляторного акта</w:t>
      </w:r>
      <w:r w:rsidR="00D45D51" w:rsidRPr="00C340FB">
        <w:rPr>
          <w:lang w:eastAsia="en-US"/>
        </w:rPr>
        <w:t xml:space="preserve">, </w:t>
      </w:r>
      <w:r w:rsidR="00380D15">
        <w:rPr>
          <w:lang w:eastAsia="en-US"/>
        </w:rPr>
        <w:t>у</w:t>
      </w:r>
      <w:r w:rsidR="007B4F57" w:rsidRPr="00C340FB">
        <w:rPr>
          <w:lang w:eastAsia="en-US"/>
        </w:rPr>
        <w:t xml:space="preserve"> частині </w:t>
      </w:r>
      <w:r w:rsidR="007B4F57" w:rsidRPr="00C340FB">
        <w:t>доопрацювання та/або налаштування інформаційних систем страховика та/або розроблення чи придбання</w:t>
      </w:r>
      <w:r w:rsidR="00C67787" w:rsidRPr="00C340FB">
        <w:t xml:space="preserve"> відповідних технічних та/або програмних засобів </w:t>
      </w:r>
      <w:r w:rsidR="007B4F57" w:rsidRPr="00C340FB">
        <w:t xml:space="preserve">з метою забезпечення обліку </w:t>
      </w:r>
      <w:r w:rsidR="00705ED8" w:rsidRPr="00C340FB">
        <w:t xml:space="preserve">договорів, пов’язаних зі здійсненням діяльності із страхування, </w:t>
      </w:r>
      <w:r w:rsidR="0065453F" w:rsidRPr="00C340FB">
        <w:t xml:space="preserve">ведення реєстру активів для покриття технічних резервів страховика </w:t>
      </w:r>
      <w:r w:rsidR="007B4F57" w:rsidRPr="00C340FB">
        <w:t xml:space="preserve">в електронному вигляді </w:t>
      </w:r>
      <w:r w:rsidR="0022418A" w:rsidRPr="00C340FB">
        <w:t>в</w:t>
      </w:r>
      <w:r w:rsidR="007B4F57" w:rsidRPr="00C340FB">
        <w:t xml:space="preserve"> інформаційних системах</w:t>
      </w:r>
      <w:r w:rsidR="00775409" w:rsidRPr="00C340FB">
        <w:t>, а також захисту інформації</w:t>
      </w:r>
      <w:r w:rsidR="00BA1DC5" w:rsidRPr="00C340FB">
        <w:t xml:space="preserve"> </w:t>
      </w:r>
      <w:r w:rsidR="00AD20B8" w:rsidRPr="00C340FB">
        <w:t xml:space="preserve">страховика </w:t>
      </w:r>
      <w:r w:rsidR="00380D15">
        <w:t>в</w:t>
      </w:r>
      <w:r w:rsidR="00380D15" w:rsidRPr="00C340FB">
        <w:t xml:space="preserve"> </w:t>
      </w:r>
      <w:r w:rsidR="00775409" w:rsidRPr="00C340FB">
        <w:t>таких системах</w:t>
      </w:r>
      <w:r w:rsidR="00C67787" w:rsidRPr="00C340FB">
        <w:t>.</w:t>
      </w:r>
    </w:p>
    <w:p w14:paraId="4165544C" w14:textId="254C000E" w:rsidR="00514F6C" w:rsidRPr="00C340FB" w:rsidRDefault="00361C2C" w:rsidP="00514F6C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en-US"/>
        </w:rPr>
        <w:t>В</w:t>
      </w:r>
      <w:r w:rsidR="00514F6C" w:rsidRPr="00C340FB">
        <w:rPr>
          <w:lang w:eastAsia="en-US"/>
        </w:rPr>
        <w:t xml:space="preserve">ідповідні витрати </w:t>
      </w:r>
      <w:r w:rsidRPr="00C340FB">
        <w:rPr>
          <w:lang w:eastAsia="en-US"/>
        </w:rPr>
        <w:t>страховик</w:t>
      </w:r>
      <w:r w:rsidR="00C67787" w:rsidRPr="00C340FB">
        <w:rPr>
          <w:lang w:eastAsia="en-US"/>
        </w:rPr>
        <w:t>и</w:t>
      </w:r>
      <w:r w:rsidRPr="00C340FB">
        <w:rPr>
          <w:lang w:eastAsia="en-US"/>
        </w:rPr>
        <w:t xml:space="preserve"> </w:t>
      </w:r>
      <w:r w:rsidR="00514F6C" w:rsidRPr="00C340FB">
        <w:rPr>
          <w:lang w:eastAsia="en-US"/>
        </w:rPr>
        <w:t xml:space="preserve">здійснюватимуть </w:t>
      </w:r>
      <w:r w:rsidR="00380D15">
        <w:rPr>
          <w:lang w:eastAsia="en-US"/>
        </w:rPr>
        <w:t>у</w:t>
      </w:r>
      <w:r w:rsidR="00380D15" w:rsidRPr="00C340FB">
        <w:rPr>
          <w:lang w:eastAsia="en-US"/>
        </w:rPr>
        <w:t xml:space="preserve"> </w:t>
      </w:r>
      <w:r w:rsidR="00514F6C" w:rsidRPr="00C340FB">
        <w:rPr>
          <w:lang w:eastAsia="en-US"/>
        </w:rPr>
        <w:t xml:space="preserve">межах кошторисів витрат на </w:t>
      </w:r>
      <w:r w:rsidR="00FA2AFF" w:rsidRPr="00C340FB">
        <w:rPr>
          <w:lang w:eastAsia="en-US"/>
        </w:rPr>
        <w:t>поточну операційну</w:t>
      </w:r>
      <w:r w:rsidR="00514F6C" w:rsidRPr="00C340FB">
        <w:rPr>
          <w:lang w:eastAsia="en-US"/>
        </w:rPr>
        <w:t xml:space="preserve"> діяльність.</w:t>
      </w:r>
    </w:p>
    <w:p w14:paraId="675FB528" w14:textId="6FAACEE2" w:rsidR="00514F6C" w:rsidRPr="00C340FB" w:rsidRDefault="007E589C" w:rsidP="00880C0D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Перевагами такого сп</w:t>
      </w:r>
      <w:r w:rsidR="00514F6C" w:rsidRPr="00C340FB">
        <w:rPr>
          <w:lang w:eastAsia="zh-CN"/>
        </w:rPr>
        <w:t xml:space="preserve">особу є </w:t>
      </w:r>
      <w:r w:rsidR="00E578B5" w:rsidRPr="00C340FB">
        <w:rPr>
          <w:lang w:eastAsia="zh-CN"/>
        </w:rPr>
        <w:t>реалізація положень та вимог Закону про страхування</w:t>
      </w:r>
      <w:r w:rsidR="004071AE" w:rsidRPr="00C340FB">
        <w:rPr>
          <w:lang w:eastAsia="zh-CN"/>
        </w:rPr>
        <w:t xml:space="preserve">, </w:t>
      </w:r>
      <w:r w:rsidR="00514F6C" w:rsidRPr="00C340FB">
        <w:rPr>
          <w:lang w:eastAsia="zh-CN"/>
        </w:rPr>
        <w:t xml:space="preserve">встановлення </w:t>
      </w:r>
      <w:r w:rsidR="001F4501" w:rsidRPr="00C340FB">
        <w:rPr>
          <w:lang w:eastAsia="zh-CN"/>
        </w:rPr>
        <w:t xml:space="preserve">Національним банком </w:t>
      </w:r>
      <w:r w:rsidRPr="00C340FB">
        <w:rPr>
          <w:lang w:eastAsia="zh-CN"/>
        </w:rPr>
        <w:t xml:space="preserve">вимог до </w:t>
      </w:r>
      <w:r w:rsidR="00514F6C" w:rsidRPr="00C340FB">
        <w:rPr>
          <w:lang w:eastAsia="zh-CN"/>
        </w:rPr>
        <w:t xml:space="preserve">діяльності із страхування в частині визначення </w:t>
      </w:r>
      <w:r w:rsidR="00C67787" w:rsidRPr="00C340FB">
        <w:rPr>
          <w:lang w:eastAsia="zh-CN"/>
        </w:rPr>
        <w:t xml:space="preserve">вимог до </w:t>
      </w:r>
      <w:r w:rsidR="008437DA" w:rsidRPr="00C340FB">
        <w:rPr>
          <w:lang w:eastAsia="zh-CN"/>
        </w:rPr>
        <w:t xml:space="preserve">порядку ведення </w:t>
      </w:r>
      <w:r w:rsidR="00C67787" w:rsidRPr="00C340FB">
        <w:rPr>
          <w:lang w:eastAsia="zh-CN"/>
        </w:rPr>
        <w:t xml:space="preserve">обліку </w:t>
      </w:r>
      <w:r w:rsidR="00AD20B8" w:rsidRPr="00C340FB">
        <w:rPr>
          <w:lang w:eastAsia="zh-CN"/>
        </w:rPr>
        <w:t xml:space="preserve">страховиком </w:t>
      </w:r>
      <w:r w:rsidR="00C67787" w:rsidRPr="00C340FB">
        <w:rPr>
          <w:lang w:eastAsia="zh-CN"/>
        </w:rPr>
        <w:t xml:space="preserve">операцій </w:t>
      </w:r>
      <w:r w:rsidR="002873D3" w:rsidRPr="00C340FB">
        <w:rPr>
          <w:lang w:eastAsia="zh-CN"/>
        </w:rPr>
        <w:t>з</w:t>
      </w:r>
      <w:r w:rsidR="0065453F" w:rsidRPr="00C340FB">
        <w:rPr>
          <w:lang w:eastAsia="zh-CN"/>
        </w:rPr>
        <w:t>і</w:t>
      </w:r>
      <w:r w:rsidR="00AD20B8" w:rsidRPr="00C340FB">
        <w:rPr>
          <w:lang w:eastAsia="zh-CN"/>
        </w:rPr>
        <w:t xml:space="preserve"> страхування </w:t>
      </w:r>
      <w:r w:rsidR="00D72D4E" w:rsidRPr="00C340FB">
        <w:rPr>
          <w:lang w:eastAsia="zh-CN"/>
        </w:rPr>
        <w:t xml:space="preserve">щодо </w:t>
      </w:r>
      <w:r w:rsidR="00C67787" w:rsidRPr="00C340FB">
        <w:rPr>
          <w:lang w:eastAsia="zh-CN"/>
        </w:rPr>
        <w:t>уклад</w:t>
      </w:r>
      <w:r w:rsidR="00380D15">
        <w:rPr>
          <w:lang w:eastAsia="zh-CN"/>
        </w:rPr>
        <w:t>а</w:t>
      </w:r>
      <w:r w:rsidR="00C67787" w:rsidRPr="00C340FB">
        <w:rPr>
          <w:lang w:eastAsia="zh-CN"/>
        </w:rPr>
        <w:t>ння</w:t>
      </w:r>
      <w:r w:rsidR="00D72D4E" w:rsidRPr="00C340FB">
        <w:rPr>
          <w:lang w:eastAsia="zh-CN"/>
        </w:rPr>
        <w:t>, обслуговування</w:t>
      </w:r>
      <w:r w:rsidR="00C67787" w:rsidRPr="00C340FB">
        <w:rPr>
          <w:lang w:eastAsia="zh-CN"/>
        </w:rPr>
        <w:t xml:space="preserve"> та виконання договорів страхування (перестрахування), обліку інших </w:t>
      </w:r>
      <w:r w:rsidR="002873D3" w:rsidRPr="00C340FB">
        <w:rPr>
          <w:lang w:eastAsia="zh-CN"/>
        </w:rPr>
        <w:t xml:space="preserve">договорів та </w:t>
      </w:r>
      <w:r w:rsidR="00C67787" w:rsidRPr="00C340FB">
        <w:rPr>
          <w:lang w:eastAsia="zh-CN"/>
        </w:rPr>
        <w:t xml:space="preserve">операцій, </w:t>
      </w:r>
      <w:r w:rsidR="008473BA" w:rsidRPr="00C340FB">
        <w:rPr>
          <w:lang w:eastAsia="zh-CN"/>
        </w:rPr>
        <w:t>пов’язаних</w:t>
      </w:r>
      <w:r w:rsidR="00C67787" w:rsidRPr="00C340FB">
        <w:rPr>
          <w:lang w:eastAsia="zh-CN"/>
        </w:rPr>
        <w:t xml:space="preserve"> з</w:t>
      </w:r>
      <w:r w:rsidR="002873D3" w:rsidRPr="00C340FB">
        <w:rPr>
          <w:lang w:eastAsia="zh-CN"/>
        </w:rPr>
        <w:t>і</w:t>
      </w:r>
      <w:r w:rsidR="00C67787" w:rsidRPr="00C340FB">
        <w:rPr>
          <w:lang w:eastAsia="zh-CN"/>
        </w:rPr>
        <w:t xml:space="preserve"> здійсненням </w:t>
      </w:r>
      <w:r w:rsidR="00EF39F2" w:rsidRPr="00C340FB">
        <w:rPr>
          <w:lang w:eastAsia="zh-CN"/>
        </w:rPr>
        <w:t>страховиком</w:t>
      </w:r>
      <w:r w:rsidR="00C67787" w:rsidRPr="00C340FB">
        <w:rPr>
          <w:lang w:eastAsia="zh-CN"/>
        </w:rPr>
        <w:t xml:space="preserve"> діяльності </w:t>
      </w:r>
      <w:r w:rsidR="002873D3" w:rsidRPr="00C340FB">
        <w:rPr>
          <w:lang w:eastAsia="zh-CN"/>
        </w:rPr>
        <w:t>із</w:t>
      </w:r>
      <w:r w:rsidR="00C67787" w:rsidRPr="00C340FB">
        <w:rPr>
          <w:lang w:eastAsia="zh-CN"/>
        </w:rPr>
        <w:t xml:space="preserve"> страхування</w:t>
      </w:r>
      <w:r w:rsidR="00E578B5" w:rsidRPr="00C340FB">
        <w:rPr>
          <w:lang w:eastAsia="zh-CN"/>
        </w:rPr>
        <w:t xml:space="preserve">, </w:t>
      </w:r>
      <w:r w:rsidR="00EF39F2" w:rsidRPr="00C340FB">
        <w:rPr>
          <w:lang w:eastAsia="zh-CN"/>
        </w:rPr>
        <w:t xml:space="preserve">встановлення вимог до захисту інформації страховика та функціонування </w:t>
      </w:r>
      <w:r w:rsidR="002873D3" w:rsidRPr="00C340FB">
        <w:rPr>
          <w:lang w:eastAsia="zh-CN"/>
        </w:rPr>
        <w:t xml:space="preserve">його </w:t>
      </w:r>
      <w:r w:rsidR="00EF39F2" w:rsidRPr="00C340FB">
        <w:rPr>
          <w:lang w:eastAsia="zh-CN"/>
        </w:rPr>
        <w:t xml:space="preserve">інформаційних систем, забезпечення здійснення </w:t>
      </w:r>
      <w:r w:rsidR="008473BA" w:rsidRPr="00C340FB">
        <w:rPr>
          <w:lang w:eastAsia="zh-CN"/>
        </w:rPr>
        <w:t xml:space="preserve">Національним банком </w:t>
      </w:r>
      <w:r w:rsidR="008473BA" w:rsidRPr="00C340FB">
        <w:rPr>
          <w:shd w:val="clear" w:color="auto" w:fill="FFFFFF"/>
        </w:rPr>
        <w:t xml:space="preserve">державного регулювання та нагляду за </w:t>
      </w:r>
      <w:r w:rsidR="00AD17CD" w:rsidRPr="00C340FB">
        <w:rPr>
          <w:shd w:val="clear" w:color="auto" w:fill="FFFFFF"/>
        </w:rPr>
        <w:t>діяльністю у сфері страхування</w:t>
      </w:r>
      <w:r w:rsidR="008473BA" w:rsidRPr="00C340FB">
        <w:rPr>
          <w:lang w:eastAsia="zh-CN"/>
        </w:rPr>
        <w:t xml:space="preserve"> </w:t>
      </w:r>
      <w:r w:rsidR="00EF39F2" w:rsidRPr="00C340FB">
        <w:rPr>
          <w:lang w:eastAsia="zh-CN"/>
        </w:rPr>
        <w:t xml:space="preserve">та захисту </w:t>
      </w:r>
      <w:r w:rsidR="006F72DB" w:rsidRPr="00C340FB">
        <w:rPr>
          <w:lang w:eastAsia="zh-CN"/>
        </w:rPr>
        <w:t xml:space="preserve">прав </w:t>
      </w:r>
      <w:r w:rsidR="006F72DB" w:rsidRPr="00C340FB">
        <w:rPr>
          <w:shd w:val="clear" w:color="auto" w:fill="FFFFFF"/>
        </w:rPr>
        <w:t xml:space="preserve">та законних інтересів клієнтів </w:t>
      </w:r>
      <w:r w:rsidR="00E578B5" w:rsidRPr="00C340FB">
        <w:rPr>
          <w:lang w:eastAsia="zh-CN"/>
        </w:rPr>
        <w:t xml:space="preserve">згідно з </w:t>
      </w:r>
      <w:r w:rsidR="00AD17CD" w:rsidRPr="00C340FB">
        <w:rPr>
          <w:lang w:eastAsia="zh-CN"/>
        </w:rPr>
        <w:t xml:space="preserve">вимогами </w:t>
      </w:r>
      <w:r w:rsidR="00E578B5" w:rsidRPr="00C340FB">
        <w:rPr>
          <w:lang w:eastAsia="zh-CN"/>
        </w:rPr>
        <w:t>Закон</w:t>
      </w:r>
      <w:r w:rsidR="00AD17CD" w:rsidRPr="00C340FB">
        <w:rPr>
          <w:lang w:eastAsia="zh-CN"/>
        </w:rPr>
        <w:t xml:space="preserve">у </w:t>
      </w:r>
      <w:r w:rsidR="00E578B5" w:rsidRPr="00C340FB">
        <w:rPr>
          <w:lang w:eastAsia="zh-CN"/>
        </w:rPr>
        <w:t>про страхування</w:t>
      </w:r>
      <w:r w:rsidR="00514F6C" w:rsidRPr="00C340FB">
        <w:rPr>
          <w:lang w:eastAsia="zh-CN"/>
        </w:rPr>
        <w:t>.</w:t>
      </w:r>
    </w:p>
    <w:p w14:paraId="5DB5BFA8" w14:textId="77777777" w:rsidR="00880C0D" w:rsidRPr="00C340FB" w:rsidRDefault="00880C0D" w:rsidP="00880C0D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Т</w:t>
      </w:r>
      <w:r w:rsidR="00361C2C" w:rsidRPr="00C340FB">
        <w:rPr>
          <w:lang w:eastAsia="zh-CN"/>
        </w:rPr>
        <w:t>ому</w:t>
      </w:r>
      <w:r w:rsidRPr="00C340FB">
        <w:rPr>
          <w:lang w:eastAsia="zh-CN"/>
        </w:rPr>
        <w:t xml:space="preserve"> Національний банк обрав варіант прийняття </w:t>
      </w:r>
      <w:r w:rsidR="00EC18BB" w:rsidRPr="00C340FB">
        <w:rPr>
          <w:lang w:eastAsia="zh-CN"/>
        </w:rPr>
        <w:t xml:space="preserve">запропонованого регуляторного </w:t>
      </w:r>
      <w:r w:rsidRPr="00C340FB">
        <w:rPr>
          <w:lang w:eastAsia="zh-CN"/>
        </w:rPr>
        <w:t xml:space="preserve">акта як найкращий спосіб досягнення зазначених цілей. </w:t>
      </w:r>
    </w:p>
    <w:p w14:paraId="2086811A" w14:textId="77777777" w:rsidR="00880C0D" w:rsidRPr="00C340FB" w:rsidRDefault="00880C0D" w:rsidP="00880C0D">
      <w:pPr>
        <w:widowControl w:val="0"/>
        <w:shd w:val="clear" w:color="auto" w:fill="FFFFFF"/>
        <w:ind w:firstLine="686"/>
        <w:rPr>
          <w:lang w:eastAsia="zh-CN"/>
        </w:rPr>
      </w:pPr>
    </w:p>
    <w:p w14:paraId="63137997" w14:textId="5E4FA40D" w:rsidR="00AF74C6" w:rsidRPr="00C340FB" w:rsidRDefault="00AF74C6" w:rsidP="00C34681">
      <w:pPr>
        <w:pStyle w:val="1"/>
        <w:rPr>
          <w:rFonts w:cs="Times New Roman"/>
          <w:szCs w:val="28"/>
          <w:lang w:eastAsia="zh-CN"/>
        </w:rPr>
      </w:pPr>
      <w:r w:rsidRPr="00C340FB">
        <w:rPr>
          <w:rFonts w:cs="Times New Roman"/>
          <w:szCs w:val="28"/>
          <w:lang w:eastAsia="zh-CN"/>
        </w:rPr>
        <w:t xml:space="preserve">ІV. Опис </w:t>
      </w:r>
      <w:r w:rsidR="00D034E3" w:rsidRPr="00200036">
        <w:rPr>
          <w:lang w:eastAsia="zh-CN"/>
        </w:rPr>
        <w:t>механізму, який пропонується застосувати для розв’язання проблеми, і відповідні заходи</w:t>
      </w:r>
    </w:p>
    <w:p w14:paraId="7D2C8A11" w14:textId="77777777" w:rsidR="00AF74C6" w:rsidRPr="00C340FB" w:rsidRDefault="00033451" w:rsidP="00AF74C6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Р</w:t>
      </w:r>
      <w:r w:rsidR="00AF74C6" w:rsidRPr="00C340FB">
        <w:rPr>
          <w:lang w:eastAsia="zh-CN"/>
        </w:rPr>
        <w:t>егуляторн</w:t>
      </w:r>
      <w:r w:rsidRPr="00C340FB">
        <w:rPr>
          <w:lang w:eastAsia="zh-CN"/>
        </w:rPr>
        <w:t>ий</w:t>
      </w:r>
      <w:r w:rsidR="00AF74C6" w:rsidRPr="00C340FB">
        <w:rPr>
          <w:lang w:eastAsia="zh-CN"/>
        </w:rPr>
        <w:t xml:space="preserve"> акт </w:t>
      </w:r>
      <w:r w:rsidRPr="00C340FB">
        <w:rPr>
          <w:lang w:eastAsia="zh-CN"/>
        </w:rPr>
        <w:t>визначає</w:t>
      </w:r>
      <w:r w:rsidR="00AF74C6" w:rsidRPr="00C340FB">
        <w:rPr>
          <w:lang w:eastAsia="zh-CN"/>
        </w:rPr>
        <w:t>:</w:t>
      </w:r>
    </w:p>
    <w:p w14:paraId="30B9A3D1" w14:textId="755538E5" w:rsidR="00167B7F" w:rsidRPr="00C340FB" w:rsidRDefault="001D0338" w:rsidP="00C9558F">
      <w:pPr>
        <w:widowControl w:val="0"/>
        <w:shd w:val="clear" w:color="auto" w:fill="FFFFFF"/>
        <w:ind w:firstLine="686"/>
        <w:rPr>
          <w:lang w:eastAsia="zh-CN"/>
        </w:rPr>
      </w:pPr>
      <w:r>
        <w:rPr>
          <w:lang w:eastAsia="zh-CN"/>
        </w:rPr>
        <w:t>вимоги до</w:t>
      </w:r>
      <w:r w:rsidRPr="00C340FB">
        <w:rPr>
          <w:lang w:eastAsia="zh-CN"/>
        </w:rPr>
        <w:t xml:space="preserve"> </w:t>
      </w:r>
      <w:r w:rsidR="00543354" w:rsidRPr="00C340FB">
        <w:rPr>
          <w:lang w:eastAsia="zh-CN"/>
        </w:rPr>
        <w:t xml:space="preserve">забезпечення </w:t>
      </w:r>
      <w:r w:rsidRPr="001D0338">
        <w:rPr>
          <w:lang w:eastAsia="zh-CN"/>
        </w:rPr>
        <w:t xml:space="preserve">обліку договорів, пов’язаних зі здійсненням діяльності із страхування, </w:t>
      </w:r>
      <w:r w:rsidR="00543354" w:rsidRPr="00C340FB">
        <w:rPr>
          <w:lang w:eastAsia="zh-CN"/>
        </w:rPr>
        <w:t xml:space="preserve">та </w:t>
      </w:r>
      <w:r w:rsidR="00247BC2">
        <w:rPr>
          <w:lang w:eastAsia="zh-CN"/>
        </w:rPr>
        <w:t xml:space="preserve">інших </w:t>
      </w:r>
      <w:r w:rsidR="00543354" w:rsidRPr="00C340FB">
        <w:rPr>
          <w:lang w:eastAsia="zh-CN"/>
        </w:rPr>
        <w:t>операцій зі страхування в інформаційних системах</w:t>
      </w:r>
      <w:r>
        <w:rPr>
          <w:lang w:eastAsia="zh-CN"/>
        </w:rPr>
        <w:t xml:space="preserve"> страховика</w:t>
      </w:r>
      <w:r w:rsidR="00543354" w:rsidRPr="00C340FB">
        <w:rPr>
          <w:lang w:eastAsia="zh-CN"/>
        </w:rPr>
        <w:t>,</w:t>
      </w:r>
      <w:r w:rsidR="00543354" w:rsidRPr="00C340FB">
        <w:rPr>
          <w:bCs/>
          <w:lang w:eastAsia="zh-CN"/>
        </w:rPr>
        <w:t xml:space="preserve"> </w:t>
      </w:r>
      <w:r w:rsidR="00167B7F" w:rsidRPr="00C340FB">
        <w:rPr>
          <w:lang w:eastAsia="zh-CN"/>
        </w:rPr>
        <w:t xml:space="preserve">вимоги до захисту інформації </w:t>
      </w:r>
      <w:r w:rsidR="002873D3" w:rsidRPr="00C340FB">
        <w:rPr>
          <w:lang w:eastAsia="zh-CN"/>
        </w:rPr>
        <w:t xml:space="preserve">страховика </w:t>
      </w:r>
      <w:r w:rsidR="003F23C3" w:rsidRPr="00C340FB">
        <w:rPr>
          <w:lang w:eastAsia="zh-CN"/>
        </w:rPr>
        <w:t>в</w:t>
      </w:r>
      <w:r w:rsidR="002873D3" w:rsidRPr="00C340FB">
        <w:rPr>
          <w:lang w:eastAsia="zh-CN"/>
        </w:rPr>
        <w:t xml:space="preserve"> його</w:t>
      </w:r>
      <w:r w:rsidR="003F23C3" w:rsidRPr="00C340FB">
        <w:rPr>
          <w:lang w:eastAsia="zh-CN"/>
        </w:rPr>
        <w:t xml:space="preserve"> інформаційних системах</w:t>
      </w:r>
      <w:r w:rsidR="00167B7F" w:rsidRPr="00C340FB">
        <w:rPr>
          <w:lang w:eastAsia="zh-CN"/>
        </w:rPr>
        <w:t>;</w:t>
      </w:r>
    </w:p>
    <w:p w14:paraId="5CCE434B" w14:textId="06CF9DFB" w:rsidR="00D670E6" w:rsidRPr="00C340FB" w:rsidRDefault="000A7D6F" w:rsidP="00C9558F">
      <w:pPr>
        <w:widowControl w:val="0"/>
        <w:shd w:val="clear" w:color="auto" w:fill="FFFFFF"/>
        <w:ind w:firstLine="686"/>
      </w:pPr>
      <w:bookmarkStart w:id="2" w:name="_Ref135427377"/>
      <w:r w:rsidRPr="00C340FB">
        <w:t xml:space="preserve">вимоги до порядку ведення обліку договорів страхування (перестрахування), </w:t>
      </w:r>
      <w:r w:rsidR="000427D2">
        <w:t>в</w:t>
      </w:r>
      <w:r w:rsidRPr="00C340FB">
        <w:t>ключаючи персоніфікований (індивідуальний) облік договорів страхування життя, інших договорів, пов’язаних зі здійсненням страховиком діяльності і</w:t>
      </w:r>
      <w:r w:rsidR="00F75D87" w:rsidRPr="00C340FB">
        <w:t>з</w:t>
      </w:r>
      <w:r w:rsidRPr="00C340FB">
        <w:t xml:space="preserve"> страхування, та заявлених вимог на здійснення страхової (перестрахової) виплати </w:t>
      </w:r>
      <w:r w:rsidR="00B53337">
        <w:t xml:space="preserve">за </w:t>
      </w:r>
      <w:r w:rsidRPr="00C340FB">
        <w:t>договорами</w:t>
      </w:r>
      <w:r w:rsidR="00A21944" w:rsidRPr="00C340FB">
        <w:t xml:space="preserve"> страхування (перестрахування)</w:t>
      </w:r>
      <w:bookmarkEnd w:id="2"/>
      <w:r w:rsidR="00D670E6" w:rsidRPr="00C340FB">
        <w:t>;</w:t>
      </w:r>
    </w:p>
    <w:p w14:paraId="6FF88130" w14:textId="7773026A" w:rsidR="000A21C2" w:rsidRPr="00C340FB" w:rsidRDefault="000A7D6F" w:rsidP="00C9558F">
      <w:pPr>
        <w:widowControl w:val="0"/>
        <w:shd w:val="clear" w:color="auto" w:fill="FFFFFF"/>
        <w:ind w:firstLine="686"/>
        <w:rPr>
          <w:bCs/>
        </w:rPr>
      </w:pPr>
      <w:bookmarkStart w:id="3" w:name="_Ref139377504"/>
      <w:bookmarkStart w:id="4" w:name="_Ref135427852"/>
      <w:r w:rsidRPr="00C340FB">
        <w:rPr>
          <w:bCs/>
        </w:rPr>
        <w:t>правила</w:t>
      </w:r>
      <w:r w:rsidR="000A21C2" w:rsidRPr="00C340FB">
        <w:t xml:space="preserve"> обліку технічних резервів за укладеними договорами страхування (перестрахування)</w:t>
      </w:r>
      <w:bookmarkEnd w:id="3"/>
      <w:r w:rsidR="00D670E6" w:rsidRPr="00C340FB">
        <w:t>;</w:t>
      </w:r>
      <w:r w:rsidR="000A21C2" w:rsidRPr="00C340FB">
        <w:rPr>
          <w:bCs/>
        </w:rPr>
        <w:t xml:space="preserve"> </w:t>
      </w:r>
    </w:p>
    <w:p w14:paraId="2B8112B0" w14:textId="65EC4C9F" w:rsidR="000A21C2" w:rsidRPr="00C340FB" w:rsidRDefault="000A7D6F" w:rsidP="00C9558F">
      <w:pPr>
        <w:widowControl w:val="0"/>
        <w:shd w:val="clear" w:color="auto" w:fill="FFFFFF"/>
        <w:ind w:firstLine="686"/>
      </w:pPr>
      <w:r w:rsidRPr="00C340FB">
        <w:rPr>
          <w:bCs/>
        </w:rPr>
        <w:t xml:space="preserve">вимоги до забезпечення обліку операцій зі страхування </w:t>
      </w:r>
      <w:r w:rsidR="000427D2">
        <w:rPr>
          <w:bCs/>
        </w:rPr>
        <w:t>в</w:t>
      </w:r>
      <w:r w:rsidR="000427D2" w:rsidRPr="00C340FB">
        <w:rPr>
          <w:bCs/>
        </w:rPr>
        <w:t xml:space="preserve"> </w:t>
      </w:r>
      <w:r w:rsidRPr="00C340FB">
        <w:rPr>
          <w:rFonts w:hint="eastAsia"/>
          <w:bCs/>
        </w:rPr>
        <w:t>процесі</w:t>
      </w:r>
      <w:r w:rsidRPr="00C340FB">
        <w:rPr>
          <w:bCs/>
        </w:rPr>
        <w:t xml:space="preserve"> </w:t>
      </w:r>
      <w:r w:rsidRPr="00C340FB">
        <w:rPr>
          <w:rFonts w:hint="eastAsia"/>
          <w:bCs/>
        </w:rPr>
        <w:t>реєстрації</w:t>
      </w:r>
      <w:r w:rsidRPr="00C340FB">
        <w:rPr>
          <w:bCs/>
        </w:rPr>
        <w:t xml:space="preserve"> інформації, </w:t>
      </w:r>
      <w:r w:rsidRPr="00C340FB">
        <w:rPr>
          <w:rFonts w:hint="eastAsia"/>
          <w:bCs/>
        </w:rPr>
        <w:t>внесення</w:t>
      </w:r>
      <w:r w:rsidRPr="00C340FB">
        <w:rPr>
          <w:bCs/>
        </w:rPr>
        <w:t xml:space="preserve"> її </w:t>
      </w:r>
      <w:r w:rsidRPr="00C340FB">
        <w:rPr>
          <w:rFonts w:hint="eastAsia"/>
          <w:bCs/>
        </w:rPr>
        <w:t>до</w:t>
      </w:r>
      <w:r w:rsidRPr="00C340FB">
        <w:rPr>
          <w:bCs/>
        </w:rPr>
        <w:t xml:space="preserve"> інформаційних систем страховика, </w:t>
      </w:r>
      <w:r w:rsidRPr="00C340FB">
        <w:rPr>
          <w:rFonts w:hint="eastAsia"/>
          <w:bCs/>
        </w:rPr>
        <w:t>накопичення</w:t>
      </w:r>
      <w:r w:rsidRPr="00C340FB">
        <w:rPr>
          <w:bCs/>
        </w:rPr>
        <w:t xml:space="preserve">, </w:t>
      </w:r>
      <w:r w:rsidRPr="00C340FB">
        <w:rPr>
          <w:rFonts w:hint="eastAsia"/>
          <w:bCs/>
        </w:rPr>
        <w:t>узагальнення</w:t>
      </w:r>
      <w:r w:rsidRPr="00C340FB">
        <w:rPr>
          <w:bCs/>
        </w:rPr>
        <w:t xml:space="preserve">, </w:t>
      </w:r>
      <w:r w:rsidRPr="00C340FB">
        <w:rPr>
          <w:rFonts w:hint="eastAsia"/>
          <w:bCs/>
        </w:rPr>
        <w:t>зберігання</w:t>
      </w:r>
      <w:r w:rsidRPr="00C340FB">
        <w:rPr>
          <w:bCs/>
        </w:rPr>
        <w:t xml:space="preserve"> </w:t>
      </w:r>
      <w:r w:rsidRPr="00C340FB">
        <w:rPr>
          <w:rFonts w:hint="eastAsia"/>
          <w:bCs/>
        </w:rPr>
        <w:t>інформації</w:t>
      </w:r>
      <w:r w:rsidRPr="00C340FB">
        <w:rPr>
          <w:bCs/>
        </w:rPr>
        <w:t xml:space="preserve"> про такі операції у цих системах</w:t>
      </w:r>
      <w:r w:rsidR="00D670E6" w:rsidRPr="00C340FB">
        <w:rPr>
          <w:bCs/>
        </w:rPr>
        <w:t>;</w:t>
      </w:r>
    </w:p>
    <w:p w14:paraId="11B6B458" w14:textId="77777777" w:rsidR="000A7D6F" w:rsidRPr="00C340FB" w:rsidRDefault="000A7D6F" w:rsidP="00C9558F">
      <w:pPr>
        <w:widowControl w:val="0"/>
        <w:shd w:val="clear" w:color="auto" w:fill="FFFFFF"/>
        <w:ind w:firstLine="686"/>
      </w:pPr>
      <w:r w:rsidRPr="00C340FB">
        <w:t>вимоги щодо захисту інформації страховика;</w:t>
      </w:r>
    </w:p>
    <w:p w14:paraId="2931559C" w14:textId="77777777" w:rsidR="00BE6BDE" w:rsidRPr="00C340FB" w:rsidRDefault="00BE6BDE" w:rsidP="00C9558F">
      <w:pPr>
        <w:widowControl w:val="0"/>
        <w:shd w:val="clear" w:color="auto" w:fill="FFFFFF"/>
        <w:ind w:firstLine="686"/>
      </w:pPr>
      <w:r w:rsidRPr="00C340FB">
        <w:t xml:space="preserve">порядок </w:t>
      </w:r>
      <w:r w:rsidRPr="00C340FB">
        <w:rPr>
          <w:bCs/>
        </w:rPr>
        <w:t>ведення</w:t>
      </w:r>
      <w:r w:rsidRPr="00C340FB">
        <w:t xml:space="preserve"> </w:t>
      </w:r>
      <w:r w:rsidRPr="00C340FB">
        <w:rPr>
          <w:bCs/>
        </w:rPr>
        <w:t>реєстру</w:t>
      </w:r>
      <w:r w:rsidRPr="00C340FB">
        <w:t xml:space="preserve"> активів для покриття технічних резервів за договорами страхування (перестрахування)</w:t>
      </w:r>
      <w:bookmarkEnd w:id="4"/>
      <w:r w:rsidRPr="00C340FB">
        <w:t>.</w:t>
      </w:r>
    </w:p>
    <w:p w14:paraId="64ADF9A4" w14:textId="3C610E52" w:rsidR="00F63851" w:rsidRPr="00C340FB" w:rsidRDefault="002A0CFF" w:rsidP="00AF74C6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lastRenderedPageBreak/>
        <w:t>П</w:t>
      </w:r>
      <w:r w:rsidR="00AF74C6" w:rsidRPr="00C340FB">
        <w:rPr>
          <w:lang w:eastAsia="zh-CN"/>
        </w:rPr>
        <w:t xml:space="preserve">рийняття регуляторного акта </w:t>
      </w:r>
      <w:r w:rsidR="004D6CBC" w:rsidRPr="00C340FB">
        <w:rPr>
          <w:lang w:eastAsia="zh-CN"/>
        </w:rPr>
        <w:t>забезпечить</w:t>
      </w:r>
      <w:r w:rsidR="00AD095B" w:rsidRPr="00C340FB">
        <w:rPr>
          <w:lang w:eastAsia="zh-CN"/>
        </w:rPr>
        <w:t xml:space="preserve"> </w:t>
      </w:r>
      <w:r w:rsidR="00E14432" w:rsidRPr="00C340FB">
        <w:rPr>
          <w:lang w:eastAsia="zh-CN"/>
        </w:rPr>
        <w:t>встановлення</w:t>
      </w:r>
      <w:r w:rsidR="004D6CBC" w:rsidRPr="00C340FB">
        <w:rPr>
          <w:lang w:eastAsia="zh-CN"/>
        </w:rPr>
        <w:t xml:space="preserve"> вимог до</w:t>
      </w:r>
      <w:r w:rsidR="00AD095B" w:rsidRPr="00C340FB">
        <w:rPr>
          <w:lang w:eastAsia="zh-CN"/>
        </w:rPr>
        <w:t xml:space="preserve"> </w:t>
      </w:r>
      <w:r w:rsidR="00B71C60" w:rsidRPr="00C340FB">
        <w:rPr>
          <w:lang w:eastAsia="zh-CN"/>
        </w:rPr>
        <w:t>ве</w:t>
      </w:r>
      <w:r w:rsidR="004D6CBC" w:rsidRPr="00C340FB">
        <w:rPr>
          <w:lang w:eastAsia="zh-CN"/>
        </w:rPr>
        <w:t>дення</w:t>
      </w:r>
      <w:r w:rsidR="00B71C60" w:rsidRPr="00C340FB">
        <w:rPr>
          <w:lang w:eastAsia="zh-CN"/>
        </w:rPr>
        <w:t xml:space="preserve"> облік</w:t>
      </w:r>
      <w:r w:rsidR="004D6CBC" w:rsidRPr="00C340FB">
        <w:rPr>
          <w:lang w:eastAsia="zh-CN"/>
        </w:rPr>
        <w:t>у</w:t>
      </w:r>
      <w:r w:rsidR="00B71C60" w:rsidRPr="00C340FB">
        <w:rPr>
          <w:lang w:eastAsia="zh-CN"/>
        </w:rPr>
        <w:t xml:space="preserve"> </w:t>
      </w:r>
      <w:r w:rsidR="001361F9" w:rsidRPr="00C340FB">
        <w:t>договорів, пов’язаних зі здійсненням діяльності із страхування</w:t>
      </w:r>
      <w:r w:rsidR="00B71C60" w:rsidRPr="00C340FB">
        <w:rPr>
          <w:lang w:eastAsia="zh-CN"/>
        </w:rPr>
        <w:t xml:space="preserve">, </w:t>
      </w:r>
      <w:r w:rsidR="00A21944" w:rsidRPr="00C340FB">
        <w:rPr>
          <w:lang w:eastAsia="zh-CN"/>
        </w:rPr>
        <w:t xml:space="preserve">та </w:t>
      </w:r>
      <w:r w:rsidR="00B71C60" w:rsidRPr="00C340FB">
        <w:rPr>
          <w:lang w:eastAsia="zh-CN"/>
        </w:rPr>
        <w:t>до захисту інформації в його інформаційних системах</w:t>
      </w:r>
      <w:r w:rsidRPr="00C340FB">
        <w:rPr>
          <w:lang w:eastAsia="zh-CN"/>
        </w:rPr>
        <w:t xml:space="preserve">. </w:t>
      </w:r>
    </w:p>
    <w:p w14:paraId="014EFCB9" w14:textId="18D3BE98" w:rsidR="00AD095B" w:rsidRPr="00C340FB" w:rsidRDefault="002A0CFF" w:rsidP="00AF74C6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Т</w:t>
      </w:r>
      <w:r w:rsidR="00BC705B" w:rsidRPr="00C340FB">
        <w:rPr>
          <w:lang w:eastAsia="zh-CN"/>
        </w:rPr>
        <w:t xml:space="preserve">акож </w:t>
      </w:r>
      <w:r w:rsidRPr="00C340FB">
        <w:rPr>
          <w:lang w:eastAsia="zh-CN"/>
        </w:rPr>
        <w:t xml:space="preserve">прийняття регуляторного </w:t>
      </w:r>
      <w:r w:rsidR="00F507B6" w:rsidRPr="00C340FB">
        <w:rPr>
          <w:lang w:eastAsia="zh-CN"/>
        </w:rPr>
        <w:t xml:space="preserve">акта </w:t>
      </w:r>
      <w:r w:rsidR="000427D2">
        <w:rPr>
          <w:lang w:eastAsia="zh-CN"/>
        </w:rPr>
        <w:t>дасть змогу</w:t>
      </w:r>
      <w:r w:rsidR="000427D2" w:rsidRPr="00C340FB">
        <w:rPr>
          <w:lang w:eastAsia="zh-CN"/>
        </w:rPr>
        <w:t xml:space="preserve"> </w:t>
      </w:r>
      <w:r w:rsidR="00844D3D" w:rsidRPr="00C340FB">
        <w:rPr>
          <w:lang w:eastAsia="zh-CN"/>
        </w:rPr>
        <w:t>реалізувати повноваження</w:t>
      </w:r>
      <w:r w:rsidR="00AF74C6" w:rsidRPr="00C340FB">
        <w:rPr>
          <w:lang w:eastAsia="zh-CN"/>
        </w:rPr>
        <w:t xml:space="preserve"> Національн</w:t>
      </w:r>
      <w:r w:rsidR="00844D3D" w:rsidRPr="00C340FB">
        <w:rPr>
          <w:lang w:eastAsia="zh-CN"/>
        </w:rPr>
        <w:t>ого</w:t>
      </w:r>
      <w:r w:rsidR="00AF74C6" w:rsidRPr="00C340FB">
        <w:rPr>
          <w:lang w:eastAsia="zh-CN"/>
        </w:rPr>
        <w:t xml:space="preserve"> банк</w:t>
      </w:r>
      <w:r w:rsidR="00844D3D" w:rsidRPr="00C340FB">
        <w:rPr>
          <w:lang w:eastAsia="zh-CN"/>
        </w:rPr>
        <w:t>у щодо</w:t>
      </w:r>
      <w:r w:rsidR="003103B8" w:rsidRPr="00C340FB">
        <w:rPr>
          <w:lang w:eastAsia="zh-CN"/>
        </w:rPr>
        <w:t xml:space="preserve"> </w:t>
      </w:r>
      <w:r w:rsidR="00537257" w:rsidRPr="00C340FB">
        <w:rPr>
          <w:shd w:val="clear" w:color="auto" w:fill="FFFFFF"/>
        </w:rPr>
        <w:t xml:space="preserve">державного регулювання та нагляду </w:t>
      </w:r>
      <w:r w:rsidR="00783A6A" w:rsidRPr="00C340FB">
        <w:rPr>
          <w:shd w:val="clear" w:color="auto" w:fill="FFFFFF"/>
        </w:rPr>
        <w:t>у сфері страхування</w:t>
      </w:r>
      <w:r w:rsidR="00537257" w:rsidRPr="00C340FB">
        <w:rPr>
          <w:shd w:val="clear" w:color="auto" w:fill="FFFFFF"/>
        </w:rPr>
        <w:t>, зокрема</w:t>
      </w:r>
      <w:r w:rsidRPr="00C340FB">
        <w:rPr>
          <w:lang w:eastAsia="zh-CN"/>
        </w:rPr>
        <w:t xml:space="preserve"> </w:t>
      </w:r>
      <w:r w:rsidR="004D6CBC" w:rsidRPr="00C340FB">
        <w:rPr>
          <w:shd w:val="clear" w:color="auto" w:fill="FFFFFF"/>
        </w:rPr>
        <w:t>здійснення</w:t>
      </w:r>
      <w:r w:rsidR="009F0010" w:rsidRPr="00C340FB">
        <w:rPr>
          <w:shd w:val="clear" w:color="auto" w:fill="FFFFFF"/>
        </w:rPr>
        <w:t xml:space="preserve"> контрол</w:t>
      </w:r>
      <w:r w:rsidR="004D6CBC" w:rsidRPr="00C340FB">
        <w:rPr>
          <w:shd w:val="clear" w:color="auto" w:fill="FFFFFF"/>
        </w:rPr>
        <w:t>ю</w:t>
      </w:r>
      <w:r w:rsidR="009F0010" w:rsidRPr="00C340FB">
        <w:rPr>
          <w:shd w:val="clear" w:color="auto" w:fill="FFFFFF"/>
        </w:rPr>
        <w:t xml:space="preserve"> за </w:t>
      </w:r>
      <w:r w:rsidR="0047121C" w:rsidRPr="00C340FB">
        <w:rPr>
          <w:shd w:val="clear" w:color="auto" w:fill="FFFFFF"/>
        </w:rPr>
        <w:t xml:space="preserve">діяльністю страховиків </w:t>
      </w:r>
      <w:r w:rsidR="00722A8F" w:rsidRPr="00C340FB">
        <w:rPr>
          <w:lang w:eastAsia="zh-CN"/>
        </w:rPr>
        <w:t xml:space="preserve">як ліцензіатів, </w:t>
      </w:r>
      <w:r w:rsidR="0047121C" w:rsidRPr="00C340FB">
        <w:rPr>
          <w:lang w:eastAsia="zh-CN"/>
        </w:rPr>
        <w:t>контрол</w:t>
      </w:r>
      <w:r w:rsidR="004D6CBC" w:rsidRPr="00C340FB">
        <w:rPr>
          <w:lang w:eastAsia="zh-CN"/>
        </w:rPr>
        <w:t>ю</w:t>
      </w:r>
      <w:r w:rsidR="0047121C" w:rsidRPr="00C340FB">
        <w:rPr>
          <w:lang w:eastAsia="zh-CN"/>
        </w:rPr>
        <w:t xml:space="preserve"> за веденням обліку договорів страхування (перестрахування) і виконання страховиками таких договорів</w:t>
      </w:r>
      <w:r w:rsidR="006D2711" w:rsidRPr="00C340FB">
        <w:rPr>
          <w:lang w:eastAsia="zh-CN"/>
        </w:rPr>
        <w:t>,</w:t>
      </w:r>
      <w:r w:rsidR="0047121C" w:rsidRPr="00C340FB">
        <w:rPr>
          <w:lang w:eastAsia="zh-CN"/>
        </w:rPr>
        <w:t xml:space="preserve"> визнач</w:t>
      </w:r>
      <w:r w:rsidR="004D6CBC" w:rsidRPr="00C340FB">
        <w:rPr>
          <w:lang w:eastAsia="zh-CN"/>
        </w:rPr>
        <w:t>ення</w:t>
      </w:r>
      <w:r w:rsidR="0047121C" w:rsidRPr="00C340FB">
        <w:rPr>
          <w:lang w:eastAsia="zh-CN"/>
        </w:rPr>
        <w:t xml:space="preserve"> рів</w:t>
      </w:r>
      <w:r w:rsidR="004D6CBC" w:rsidRPr="00C340FB">
        <w:rPr>
          <w:lang w:eastAsia="zh-CN"/>
        </w:rPr>
        <w:t>ня</w:t>
      </w:r>
      <w:r w:rsidR="0047121C" w:rsidRPr="00C340FB">
        <w:rPr>
          <w:lang w:eastAsia="zh-CN"/>
        </w:rPr>
        <w:t xml:space="preserve"> безпечності і стабільності операцій страховика, достовірності звітності страховика, дотримання </w:t>
      </w:r>
      <w:r w:rsidR="004B5E31" w:rsidRPr="00C340FB">
        <w:rPr>
          <w:lang w:eastAsia="zh-CN"/>
        </w:rPr>
        <w:t xml:space="preserve">страховиком </w:t>
      </w:r>
      <w:r w:rsidR="0047121C" w:rsidRPr="00C340FB">
        <w:rPr>
          <w:lang w:eastAsia="zh-CN"/>
        </w:rPr>
        <w:t>вимог законодавства України у сфері фінансових послуг, у тому числі нормативно-правових актів Національного банку</w:t>
      </w:r>
      <w:r w:rsidRPr="00C340FB">
        <w:rPr>
          <w:lang w:eastAsia="zh-CN"/>
        </w:rPr>
        <w:t xml:space="preserve">, </w:t>
      </w:r>
      <w:r w:rsidR="0047121C" w:rsidRPr="00C340FB">
        <w:rPr>
          <w:lang w:eastAsia="zh-CN"/>
        </w:rPr>
        <w:t>здійсн</w:t>
      </w:r>
      <w:r w:rsidR="004B5E31" w:rsidRPr="00C340FB">
        <w:rPr>
          <w:lang w:eastAsia="zh-CN"/>
        </w:rPr>
        <w:t>ення</w:t>
      </w:r>
      <w:r w:rsidR="0047121C" w:rsidRPr="00C340FB">
        <w:rPr>
          <w:lang w:eastAsia="zh-CN"/>
        </w:rPr>
        <w:t xml:space="preserve"> захист</w:t>
      </w:r>
      <w:r w:rsidR="004B5E31" w:rsidRPr="00C340FB">
        <w:rPr>
          <w:lang w:eastAsia="zh-CN"/>
        </w:rPr>
        <w:t>у</w:t>
      </w:r>
      <w:r w:rsidR="0047121C" w:rsidRPr="00C340FB">
        <w:rPr>
          <w:lang w:eastAsia="zh-CN"/>
        </w:rPr>
        <w:t xml:space="preserve"> прав </w:t>
      </w:r>
      <w:r w:rsidR="0047121C" w:rsidRPr="00C340FB">
        <w:rPr>
          <w:shd w:val="clear" w:color="auto" w:fill="FFFFFF"/>
        </w:rPr>
        <w:t>та законних інтересів клієнтів</w:t>
      </w:r>
      <w:r w:rsidR="00722A8F" w:rsidRPr="00C340FB">
        <w:rPr>
          <w:shd w:val="clear" w:color="auto" w:fill="FFFFFF"/>
        </w:rPr>
        <w:t>.</w:t>
      </w:r>
    </w:p>
    <w:p w14:paraId="4E41E726" w14:textId="41737EE0" w:rsidR="00C8468B" w:rsidRPr="00C340FB" w:rsidRDefault="00C8468B" w:rsidP="00C8468B">
      <w:pPr>
        <w:widowControl w:val="0"/>
        <w:ind w:firstLine="686"/>
      </w:pPr>
      <w:r w:rsidRPr="00C340FB">
        <w:t xml:space="preserve">Ступінь ефективності регуляторного акта оцінюватиметься за результатами аналізу діяльності страховиків, пов’язаної з </w:t>
      </w:r>
      <w:r w:rsidRPr="00C340FB">
        <w:rPr>
          <w:lang w:eastAsia="zh-CN"/>
        </w:rPr>
        <w:t>уклад</w:t>
      </w:r>
      <w:r w:rsidR="000427D2">
        <w:rPr>
          <w:lang w:eastAsia="zh-CN"/>
        </w:rPr>
        <w:t>а</w:t>
      </w:r>
      <w:r w:rsidRPr="00C340FB">
        <w:rPr>
          <w:lang w:eastAsia="zh-CN"/>
        </w:rPr>
        <w:t>нням страховиками договор</w:t>
      </w:r>
      <w:r w:rsidR="00E46209" w:rsidRPr="00C340FB">
        <w:rPr>
          <w:lang w:eastAsia="zh-CN"/>
        </w:rPr>
        <w:t>ів</w:t>
      </w:r>
      <w:r w:rsidRPr="00C340FB">
        <w:rPr>
          <w:lang w:eastAsia="zh-CN"/>
        </w:rPr>
        <w:t xml:space="preserve"> страхування (перестрахування) та здійсненням  виплат за такими договорами</w:t>
      </w:r>
      <w:r w:rsidRPr="00C340FB">
        <w:t xml:space="preserve">. </w:t>
      </w:r>
      <w:r w:rsidRPr="00C340FB">
        <w:rPr>
          <w:lang w:eastAsia="ru-RU"/>
        </w:rPr>
        <w:t>Показники, за якими оцінювати</w:t>
      </w:r>
      <w:r w:rsidR="000427D2">
        <w:rPr>
          <w:lang w:eastAsia="ru-RU"/>
        </w:rPr>
        <w:t>меть</w:t>
      </w:r>
      <w:r w:rsidRPr="00C340FB">
        <w:rPr>
          <w:lang w:eastAsia="ru-RU"/>
        </w:rPr>
        <w:t>с</w:t>
      </w:r>
      <w:r w:rsidR="000427D2">
        <w:rPr>
          <w:lang w:eastAsia="ru-RU"/>
        </w:rPr>
        <w:t>я</w:t>
      </w:r>
      <w:r w:rsidRPr="00C340FB">
        <w:rPr>
          <w:lang w:eastAsia="ru-RU"/>
        </w:rPr>
        <w:t xml:space="preserve"> результативність регуляторного акта, наведені в розділі </w:t>
      </w:r>
      <w:r w:rsidRPr="00C340FB">
        <w:rPr>
          <w:lang w:eastAsia="zh-CN"/>
        </w:rPr>
        <w:t>VIII</w:t>
      </w:r>
      <w:r w:rsidRPr="00C340FB">
        <w:rPr>
          <w:b/>
          <w:lang w:eastAsia="zh-CN"/>
        </w:rPr>
        <w:t xml:space="preserve"> </w:t>
      </w:r>
      <w:r w:rsidRPr="00C340FB">
        <w:rPr>
          <w:lang w:eastAsia="zh-CN"/>
        </w:rPr>
        <w:t>цього аналізу</w:t>
      </w:r>
      <w:r w:rsidR="007239D3">
        <w:rPr>
          <w:lang w:eastAsia="zh-CN"/>
        </w:rPr>
        <w:t xml:space="preserve"> </w:t>
      </w:r>
      <w:r w:rsidRPr="00C340FB">
        <w:rPr>
          <w:lang w:eastAsia="zh-CN"/>
        </w:rPr>
        <w:t>регуляторного впливу.</w:t>
      </w:r>
    </w:p>
    <w:p w14:paraId="514D8182" w14:textId="77777777" w:rsidR="00090D16" w:rsidRPr="00C340FB" w:rsidRDefault="00090D16" w:rsidP="00697AFA">
      <w:pPr>
        <w:widowControl w:val="0"/>
        <w:shd w:val="clear" w:color="auto" w:fill="FFFFFF"/>
        <w:ind w:firstLine="686"/>
        <w:rPr>
          <w:lang w:eastAsia="zh-CN"/>
        </w:rPr>
      </w:pPr>
    </w:p>
    <w:p w14:paraId="256E4254" w14:textId="57948E66" w:rsidR="001879FA" w:rsidRPr="00C340FB" w:rsidRDefault="001879FA" w:rsidP="00C34681">
      <w:pPr>
        <w:pStyle w:val="1"/>
        <w:rPr>
          <w:rFonts w:cs="Times New Roman"/>
          <w:szCs w:val="28"/>
          <w:lang w:eastAsia="zh-CN"/>
        </w:rPr>
      </w:pPr>
      <w:r w:rsidRPr="00C340FB">
        <w:rPr>
          <w:rFonts w:cs="Times New Roman"/>
          <w:szCs w:val="28"/>
          <w:lang w:eastAsia="zh-CN"/>
        </w:rPr>
        <w:t xml:space="preserve">V. Обґрунтування можливості досягнення </w:t>
      </w:r>
      <w:r w:rsidR="00D034E3" w:rsidRPr="00200036">
        <w:rPr>
          <w:rFonts w:eastAsia="Arial Unicode MS"/>
          <w:lang w:eastAsia="zh-CN"/>
        </w:rPr>
        <w:t xml:space="preserve">визначених </w:t>
      </w:r>
      <w:r w:rsidRPr="00C340FB">
        <w:rPr>
          <w:rFonts w:cs="Times New Roman"/>
          <w:szCs w:val="28"/>
          <w:lang w:eastAsia="zh-CN"/>
        </w:rPr>
        <w:t>цілей у разі прийняття регуляторного акта</w:t>
      </w:r>
    </w:p>
    <w:p w14:paraId="11F34BC9" w14:textId="06D726BA" w:rsidR="008A1938" w:rsidRPr="00C340FB" w:rsidRDefault="001879FA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 xml:space="preserve">Вимоги регуляторного акта є обов’язковими для виконання </w:t>
      </w:r>
      <w:r w:rsidR="000427D2">
        <w:rPr>
          <w:lang w:eastAsia="zh-CN"/>
        </w:rPr>
        <w:t>в</w:t>
      </w:r>
      <w:r w:rsidRPr="00C340FB">
        <w:rPr>
          <w:lang w:eastAsia="zh-CN"/>
        </w:rPr>
        <w:t>сіма страховиками</w:t>
      </w:r>
      <w:r w:rsidR="00C3314D" w:rsidRPr="00C340FB">
        <w:rPr>
          <w:lang w:eastAsia="zh-CN"/>
        </w:rPr>
        <w:t xml:space="preserve"> </w:t>
      </w:r>
      <w:r w:rsidR="00646B04" w:rsidRPr="00C340FB">
        <w:rPr>
          <w:lang w:eastAsia="zh-CN"/>
        </w:rPr>
        <w:t>під час здійснення ними діяльності із страхування відповідно до Закону про страхування</w:t>
      </w:r>
      <w:r w:rsidRPr="00C340FB">
        <w:rPr>
          <w:lang w:eastAsia="zh-CN"/>
        </w:rPr>
        <w:t xml:space="preserve">. </w:t>
      </w:r>
    </w:p>
    <w:p w14:paraId="3DAF2B7F" w14:textId="153AD5F2" w:rsidR="001879FA" w:rsidRPr="00C340FB" w:rsidRDefault="001879FA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 xml:space="preserve">Ризик як негативного, так і позитивного впливу зовнішніх факторів на дію регуляторного акта потенційно зумовлюється головним чином змінами </w:t>
      </w:r>
      <w:r w:rsidR="000427D2">
        <w:rPr>
          <w:lang w:eastAsia="zh-CN"/>
        </w:rPr>
        <w:t>до</w:t>
      </w:r>
      <w:r w:rsidR="000427D2" w:rsidRPr="00C340FB">
        <w:rPr>
          <w:lang w:eastAsia="zh-CN"/>
        </w:rPr>
        <w:t xml:space="preserve"> </w:t>
      </w:r>
      <w:r w:rsidRPr="00C340FB">
        <w:rPr>
          <w:lang w:eastAsia="zh-CN"/>
        </w:rPr>
        <w:t>законодавчих акт</w:t>
      </w:r>
      <w:r w:rsidR="000427D2">
        <w:rPr>
          <w:lang w:eastAsia="zh-CN"/>
        </w:rPr>
        <w:t>ів</w:t>
      </w:r>
      <w:r w:rsidRPr="00C340FB">
        <w:rPr>
          <w:lang w:eastAsia="zh-CN"/>
        </w:rPr>
        <w:t xml:space="preserve"> України, що може призвести до потреби в унесенні змін до регуляторного акта.</w:t>
      </w:r>
    </w:p>
    <w:p w14:paraId="042479F0" w14:textId="77777777" w:rsidR="001879FA" w:rsidRPr="00C340FB" w:rsidRDefault="001879FA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Упровадження вимог регуляторного акта не потребує додаткових витрат Національного банку, оскільки здійснюється в межах його повноважень.</w:t>
      </w:r>
    </w:p>
    <w:p w14:paraId="066694A7" w14:textId="0D2E5219" w:rsidR="002C363E" w:rsidRPr="00C340FB" w:rsidRDefault="00F94E70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 xml:space="preserve">Додаткові </w:t>
      </w:r>
      <w:r w:rsidR="000D3216" w:rsidRPr="00C340FB">
        <w:rPr>
          <w:lang w:eastAsia="zh-CN"/>
        </w:rPr>
        <w:t xml:space="preserve">грошові і </w:t>
      </w:r>
      <w:r w:rsidR="00126636" w:rsidRPr="00C340FB">
        <w:rPr>
          <w:lang w:eastAsia="zh-CN"/>
        </w:rPr>
        <w:t xml:space="preserve">часові </w:t>
      </w:r>
      <w:r w:rsidRPr="00C340FB">
        <w:rPr>
          <w:lang w:eastAsia="zh-CN"/>
        </w:rPr>
        <w:t>в</w:t>
      </w:r>
      <w:r w:rsidR="001879FA" w:rsidRPr="00C340FB">
        <w:rPr>
          <w:lang w:eastAsia="zh-CN"/>
        </w:rPr>
        <w:t xml:space="preserve">итрати страховиків, </w:t>
      </w:r>
      <w:r w:rsidRPr="00C340FB">
        <w:rPr>
          <w:lang w:eastAsia="zh-CN"/>
        </w:rPr>
        <w:t xml:space="preserve">що пов’язані з </w:t>
      </w:r>
      <w:r w:rsidR="005420B0" w:rsidRPr="00C340FB">
        <w:rPr>
          <w:lang w:eastAsia="zh-CN"/>
        </w:rPr>
        <w:t>прийняттям</w:t>
      </w:r>
      <w:r w:rsidR="004E53AF" w:rsidRPr="00C340FB">
        <w:rPr>
          <w:lang w:eastAsia="zh-CN"/>
        </w:rPr>
        <w:t xml:space="preserve"> регуляторного </w:t>
      </w:r>
      <w:r w:rsidR="001879FA" w:rsidRPr="00C340FB">
        <w:rPr>
          <w:lang w:eastAsia="zh-CN"/>
        </w:rPr>
        <w:t>акт</w:t>
      </w:r>
      <w:r w:rsidR="004E53AF" w:rsidRPr="00C340FB">
        <w:rPr>
          <w:lang w:eastAsia="zh-CN"/>
        </w:rPr>
        <w:t>а</w:t>
      </w:r>
      <w:r w:rsidR="001879FA" w:rsidRPr="00C340FB">
        <w:rPr>
          <w:lang w:eastAsia="zh-CN"/>
        </w:rPr>
        <w:t>, полягати</w:t>
      </w:r>
      <w:r w:rsidR="000427D2">
        <w:rPr>
          <w:lang w:eastAsia="zh-CN"/>
        </w:rPr>
        <w:t>муть</w:t>
      </w:r>
      <w:r w:rsidR="001879FA" w:rsidRPr="00C340FB">
        <w:rPr>
          <w:lang w:eastAsia="zh-CN"/>
        </w:rPr>
        <w:t xml:space="preserve"> у необхідності здійснити дії щодо приведення</w:t>
      </w:r>
      <w:r w:rsidR="002C363E" w:rsidRPr="00C340FB">
        <w:rPr>
          <w:lang w:eastAsia="zh-CN"/>
        </w:rPr>
        <w:t xml:space="preserve"> </w:t>
      </w:r>
      <w:r w:rsidR="00511D0B" w:rsidRPr="00C340FB">
        <w:rPr>
          <w:lang w:eastAsia="zh-CN"/>
        </w:rPr>
        <w:t xml:space="preserve">своєї діяльності </w:t>
      </w:r>
      <w:r w:rsidR="002C363E" w:rsidRPr="00C340FB">
        <w:rPr>
          <w:lang w:eastAsia="zh-CN"/>
        </w:rPr>
        <w:t>у відповідність до</w:t>
      </w:r>
      <w:r w:rsidR="001879FA" w:rsidRPr="00C340FB">
        <w:rPr>
          <w:lang w:eastAsia="zh-CN"/>
        </w:rPr>
        <w:t xml:space="preserve"> вимог</w:t>
      </w:r>
      <w:r w:rsidR="0069375D" w:rsidRPr="00C340FB">
        <w:rPr>
          <w:lang w:eastAsia="zh-CN"/>
        </w:rPr>
        <w:t xml:space="preserve"> регуляторного акта</w:t>
      </w:r>
      <w:r w:rsidR="006821E5" w:rsidRPr="00C340FB">
        <w:rPr>
          <w:lang w:eastAsia="zh-CN"/>
        </w:rPr>
        <w:t xml:space="preserve"> у строки</w:t>
      </w:r>
      <w:r w:rsidR="001879FA" w:rsidRPr="00C340FB">
        <w:rPr>
          <w:lang w:eastAsia="zh-CN"/>
        </w:rPr>
        <w:t>, визначен</w:t>
      </w:r>
      <w:r w:rsidR="006821E5" w:rsidRPr="00C340FB">
        <w:rPr>
          <w:lang w:eastAsia="zh-CN"/>
        </w:rPr>
        <w:t>і</w:t>
      </w:r>
      <w:r w:rsidR="001879FA" w:rsidRPr="00C340FB">
        <w:rPr>
          <w:lang w:eastAsia="zh-CN"/>
        </w:rPr>
        <w:t xml:space="preserve"> </w:t>
      </w:r>
      <w:r w:rsidR="00511D0B" w:rsidRPr="00C340FB">
        <w:rPr>
          <w:lang w:eastAsia="zh-CN"/>
        </w:rPr>
        <w:t>Законом про страхування</w:t>
      </w:r>
      <w:r w:rsidR="00604999" w:rsidRPr="00C340FB">
        <w:rPr>
          <w:lang w:eastAsia="zh-CN"/>
        </w:rPr>
        <w:t xml:space="preserve"> та цим актом</w:t>
      </w:r>
      <w:r w:rsidR="001879FA" w:rsidRPr="00C340FB">
        <w:rPr>
          <w:lang w:eastAsia="zh-CN"/>
        </w:rPr>
        <w:t xml:space="preserve">. </w:t>
      </w:r>
    </w:p>
    <w:p w14:paraId="28618171" w14:textId="30CB5F36" w:rsidR="001879FA" w:rsidRPr="00C340FB" w:rsidRDefault="001879FA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 xml:space="preserve">Здійснення державного </w:t>
      </w:r>
      <w:r w:rsidR="00262EF8" w:rsidRPr="00C340FB">
        <w:rPr>
          <w:lang w:eastAsia="zh-CN"/>
        </w:rPr>
        <w:t xml:space="preserve">регулювання </w:t>
      </w:r>
      <w:r w:rsidRPr="00C340FB">
        <w:rPr>
          <w:lang w:eastAsia="zh-CN"/>
        </w:rPr>
        <w:t>та нагляду за додержанням вимог регуляторного акта відбуватиметься у межах здійснення Національним банком нагляду за діяльністю страховиків на ринку страхування з періодичністю, визначеною відповідними нормативно-правовими актами Національного банку.</w:t>
      </w:r>
    </w:p>
    <w:p w14:paraId="3FAF9D6C" w14:textId="77777777" w:rsidR="001879FA" w:rsidRPr="00C340FB" w:rsidRDefault="001879FA" w:rsidP="001879FA">
      <w:pPr>
        <w:widowControl w:val="0"/>
        <w:shd w:val="clear" w:color="auto" w:fill="FFFFFF"/>
        <w:ind w:firstLine="686"/>
        <w:rPr>
          <w:b/>
          <w:bCs/>
          <w:lang w:eastAsia="zh-CN"/>
        </w:rPr>
      </w:pPr>
    </w:p>
    <w:p w14:paraId="4F371C1D" w14:textId="7927C8B3" w:rsidR="001879FA" w:rsidRPr="00C340FB" w:rsidRDefault="001879FA" w:rsidP="00C34681">
      <w:pPr>
        <w:pStyle w:val="1"/>
        <w:rPr>
          <w:rFonts w:cs="Times New Roman"/>
          <w:szCs w:val="28"/>
          <w:lang w:eastAsia="zh-CN"/>
        </w:rPr>
      </w:pPr>
      <w:r w:rsidRPr="00C340FB">
        <w:rPr>
          <w:rFonts w:cs="Times New Roman"/>
          <w:szCs w:val="28"/>
          <w:lang w:eastAsia="zh-CN"/>
        </w:rPr>
        <w:t>VI. Визначення очікуваних результатів прийняття акта</w:t>
      </w:r>
    </w:p>
    <w:p w14:paraId="103E633F" w14:textId="451050DD" w:rsidR="004E53AF" w:rsidRPr="00C340FB" w:rsidRDefault="00C66736" w:rsidP="00A30829">
      <w:pPr>
        <w:autoSpaceDE w:val="0"/>
        <w:autoSpaceDN w:val="0"/>
        <w:adjustRightInd w:val="0"/>
        <w:ind w:firstLine="567"/>
        <w:rPr>
          <w:lang w:eastAsia="ru-RU"/>
        </w:rPr>
      </w:pPr>
      <w:r w:rsidRPr="00C340FB">
        <w:rPr>
          <w:lang w:eastAsia="ru-RU"/>
        </w:rPr>
        <w:t xml:space="preserve">Прийняття регуляторного акта </w:t>
      </w:r>
      <w:r w:rsidRPr="00C340FB">
        <w:rPr>
          <w:sz w:val="29"/>
          <w:szCs w:val="29"/>
          <w:lang w:eastAsia="en-US"/>
        </w:rPr>
        <w:t xml:space="preserve">дасть змогу </w:t>
      </w:r>
      <w:r w:rsidRPr="00C340FB">
        <w:rPr>
          <w:lang w:eastAsia="ru-RU"/>
        </w:rPr>
        <w:t xml:space="preserve">прийняти відповідно до </w:t>
      </w:r>
      <w:r w:rsidRPr="00C340FB">
        <w:rPr>
          <w:rFonts w:eastAsia="Calibri"/>
          <w:lang w:eastAsia="en-US"/>
        </w:rPr>
        <w:t>Закону про страхування</w:t>
      </w:r>
      <w:r w:rsidRPr="00C340FB">
        <w:rPr>
          <w:lang w:eastAsia="ru-RU"/>
        </w:rPr>
        <w:t xml:space="preserve"> нормативно-правовий акт, предмет регулювання якого належить до повноважень Національного банку</w:t>
      </w:r>
      <w:r w:rsidR="004E53AF" w:rsidRPr="00C340FB">
        <w:rPr>
          <w:lang w:eastAsia="ru-RU"/>
        </w:rPr>
        <w:t xml:space="preserve">.  </w:t>
      </w:r>
    </w:p>
    <w:p w14:paraId="44723224" w14:textId="77777777" w:rsidR="001879FA" w:rsidRPr="00C340FB" w:rsidRDefault="001879FA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За результатами визначення очікуваних результатів прийняття</w:t>
      </w:r>
      <w:r w:rsidR="00E37A43" w:rsidRPr="00C340FB">
        <w:rPr>
          <w:lang w:eastAsia="zh-CN"/>
        </w:rPr>
        <w:t xml:space="preserve"> </w:t>
      </w:r>
      <w:r w:rsidRPr="00C340FB">
        <w:rPr>
          <w:lang w:eastAsia="zh-CN"/>
        </w:rPr>
        <w:lastRenderedPageBreak/>
        <w:t>регуляторного акта протягом усього строку його дії можна виокремити такі</w:t>
      </w:r>
      <w:r w:rsidR="00E37A43" w:rsidRPr="00C340FB">
        <w:rPr>
          <w:lang w:eastAsia="zh-CN"/>
        </w:rPr>
        <w:t xml:space="preserve"> </w:t>
      </w:r>
      <w:r w:rsidRPr="00C340FB">
        <w:rPr>
          <w:lang w:eastAsia="zh-CN"/>
        </w:rPr>
        <w:t>наслідки його дії для суб’єктів, на яких поширюється дія регуляторного акта.</w:t>
      </w:r>
    </w:p>
    <w:p w14:paraId="6BFA6924" w14:textId="77777777" w:rsidR="00AF74C6" w:rsidRPr="00C340FB" w:rsidRDefault="001879FA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1. Позитивні наслідки дії регуляторного акта:</w:t>
      </w:r>
    </w:p>
    <w:p w14:paraId="00A070A9" w14:textId="77777777" w:rsidR="00FA3619" w:rsidRPr="00C340FB" w:rsidRDefault="00FA3619" w:rsidP="001879FA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при</w:t>
      </w:r>
      <w:r w:rsidR="00CB6432" w:rsidRPr="00C340FB">
        <w:rPr>
          <w:lang w:eastAsia="zh-CN"/>
        </w:rPr>
        <w:t>йняття</w:t>
      </w:r>
      <w:r w:rsidRPr="00C340FB">
        <w:rPr>
          <w:lang w:eastAsia="zh-CN"/>
        </w:rPr>
        <w:t xml:space="preserve"> нормативно-правов</w:t>
      </w:r>
      <w:r w:rsidR="00CB6432" w:rsidRPr="00C340FB">
        <w:rPr>
          <w:lang w:eastAsia="zh-CN"/>
        </w:rPr>
        <w:t>ого</w:t>
      </w:r>
      <w:r w:rsidRPr="00C340FB">
        <w:rPr>
          <w:lang w:eastAsia="zh-CN"/>
        </w:rPr>
        <w:t xml:space="preserve"> акт</w:t>
      </w:r>
      <w:r w:rsidR="00782608" w:rsidRPr="00C340FB">
        <w:rPr>
          <w:lang w:eastAsia="zh-CN"/>
        </w:rPr>
        <w:t>а</w:t>
      </w:r>
      <w:r w:rsidRPr="00C340FB">
        <w:rPr>
          <w:lang w:eastAsia="zh-CN"/>
        </w:rPr>
        <w:t xml:space="preserve"> Національного банку </w:t>
      </w:r>
      <w:r w:rsidR="00CB6432" w:rsidRPr="00C340FB">
        <w:rPr>
          <w:lang w:eastAsia="zh-CN"/>
        </w:rPr>
        <w:t>для реалізації положень</w:t>
      </w:r>
      <w:r w:rsidR="006C2CD8" w:rsidRPr="00C340FB">
        <w:rPr>
          <w:lang w:eastAsia="zh-CN"/>
        </w:rPr>
        <w:t xml:space="preserve"> </w:t>
      </w:r>
      <w:r w:rsidRPr="00C340FB">
        <w:rPr>
          <w:lang w:eastAsia="zh-CN"/>
        </w:rPr>
        <w:t>Закону про страхування;</w:t>
      </w:r>
    </w:p>
    <w:p w14:paraId="260EAA22" w14:textId="1DFB0893" w:rsidR="00B068A9" w:rsidRPr="00C340FB" w:rsidRDefault="0072468A" w:rsidP="00B068A9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 xml:space="preserve">встановлення єдиних вимог </w:t>
      </w:r>
      <w:r w:rsidR="0038498C" w:rsidRPr="00C340FB">
        <w:rPr>
          <w:lang w:eastAsia="zh-CN"/>
        </w:rPr>
        <w:t>до</w:t>
      </w:r>
      <w:r w:rsidR="006C2CD8" w:rsidRPr="00C340FB">
        <w:rPr>
          <w:lang w:eastAsia="zh-CN"/>
        </w:rPr>
        <w:t xml:space="preserve"> </w:t>
      </w:r>
      <w:r w:rsidR="00A7057D" w:rsidRPr="00C340FB">
        <w:rPr>
          <w:lang w:eastAsia="zh-CN"/>
        </w:rPr>
        <w:t xml:space="preserve">ведення </w:t>
      </w:r>
      <w:r w:rsidR="0082422F" w:rsidRPr="00C340FB">
        <w:rPr>
          <w:lang w:eastAsia="zh-CN"/>
        </w:rPr>
        <w:t xml:space="preserve">страховиком </w:t>
      </w:r>
      <w:r w:rsidR="00A7057D" w:rsidRPr="00C340FB">
        <w:rPr>
          <w:lang w:eastAsia="zh-CN"/>
        </w:rPr>
        <w:t xml:space="preserve">обліку операцій </w:t>
      </w:r>
      <w:r w:rsidR="001361F9" w:rsidRPr="00C340FB">
        <w:rPr>
          <w:lang w:eastAsia="zh-CN"/>
        </w:rPr>
        <w:t>зі страхування щодо уклад</w:t>
      </w:r>
      <w:r w:rsidR="000427D2">
        <w:rPr>
          <w:lang w:eastAsia="zh-CN"/>
        </w:rPr>
        <w:t>а</w:t>
      </w:r>
      <w:r w:rsidR="001361F9" w:rsidRPr="00C340FB">
        <w:rPr>
          <w:lang w:eastAsia="zh-CN"/>
        </w:rPr>
        <w:t>ння, обслуговування та виконання договорів страхування (перестрахування), обліку інших договорів та операцій, пов’язаних зі здійсненням страховиком діяльності із страхування</w:t>
      </w:r>
      <w:r w:rsidR="0082422F" w:rsidRPr="00C340FB">
        <w:rPr>
          <w:lang w:eastAsia="zh-CN"/>
        </w:rPr>
        <w:t>,</w:t>
      </w:r>
      <w:r w:rsidR="00641038" w:rsidRPr="00C340FB">
        <w:rPr>
          <w:lang w:eastAsia="zh-CN"/>
        </w:rPr>
        <w:t xml:space="preserve"> та функціонування інформаційних систем страховика</w:t>
      </w:r>
      <w:r w:rsidR="00B068A9" w:rsidRPr="00C340FB">
        <w:rPr>
          <w:lang w:eastAsia="zh-CN"/>
        </w:rPr>
        <w:t>;</w:t>
      </w:r>
    </w:p>
    <w:p w14:paraId="1BA1B0AC" w14:textId="4284C485" w:rsidR="00E37A43" w:rsidRPr="00C340FB" w:rsidRDefault="00201079" w:rsidP="00E37A43">
      <w:pPr>
        <w:widowControl w:val="0"/>
        <w:shd w:val="clear" w:color="auto" w:fill="FFFFFF"/>
        <w:ind w:firstLine="686"/>
        <w:rPr>
          <w:lang w:eastAsia="zh-CN"/>
        </w:rPr>
      </w:pPr>
      <w:r w:rsidRPr="00C340FB">
        <w:rPr>
          <w:lang w:eastAsia="zh-CN"/>
        </w:rPr>
        <w:t>запровадження страховик</w:t>
      </w:r>
      <w:r w:rsidR="0082422F" w:rsidRPr="00C340FB">
        <w:rPr>
          <w:lang w:eastAsia="zh-CN"/>
        </w:rPr>
        <w:t>ом</w:t>
      </w:r>
      <w:r w:rsidRPr="00C340FB">
        <w:rPr>
          <w:lang w:eastAsia="zh-CN"/>
        </w:rPr>
        <w:t xml:space="preserve"> заходів щодо захисту інформації </w:t>
      </w:r>
      <w:r w:rsidR="004E53AF" w:rsidRPr="00C340FB">
        <w:rPr>
          <w:lang w:eastAsia="zh-CN"/>
        </w:rPr>
        <w:t>в</w:t>
      </w:r>
      <w:r w:rsidRPr="00C340FB">
        <w:rPr>
          <w:lang w:eastAsia="zh-CN"/>
        </w:rPr>
        <w:t xml:space="preserve"> його інформаційних системах</w:t>
      </w:r>
      <w:r w:rsidR="0006031F" w:rsidRPr="00C340FB">
        <w:rPr>
          <w:lang w:eastAsia="zh-CN"/>
        </w:rPr>
        <w:t xml:space="preserve">, </w:t>
      </w:r>
      <w:r w:rsidR="00744727">
        <w:rPr>
          <w:lang w:eastAsia="zh-CN"/>
        </w:rPr>
        <w:t>в</w:t>
      </w:r>
      <w:r w:rsidR="0006031F" w:rsidRPr="00C340FB">
        <w:rPr>
          <w:lang w:eastAsia="zh-CN"/>
        </w:rPr>
        <w:t>ключаючи захист</w:t>
      </w:r>
      <w:r w:rsidR="007E3AB0" w:rsidRPr="00C340FB">
        <w:t xml:space="preserve"> електронних документів та/або інформації страховика від несанкціонованого доступу, знищення або модифікації</w:t>
      </w:r>
      <w:r w:rsidR="0006031F" w:rsidRPr="00C340FB">
        <w:t>;</w:t>
      </w:r>
    </w:p>
    <w:p w14:paraId="25037F0E" w14:textId="63F7A209" w:rsidR="00641038" w:rsidRPr="00DA6F43" w:rsidRDefault="0038498C" w:rsidP="00A1523E">
      <w:pPr>
        <w:widowControl w:val="0"/>
        <w:shd w:val="clear" w:color="auto" w:fill="FFFFFF"/>
        <w:ind w:firstLine="686"/>
      </w:pPr>
      <w:r w:rsidRPr="00C340FB">
        <w:rPr>
          <w:lang w:eastAsia="zh-CN"/>
        </w:rPr>
        <w:t>визначення порядку</w:t>
      </w:r>
      <w:r w:rsidR="00267B32" w:rsidRPr="00C340FB">
        <w:rPr>
          <w:lang w:eastAsia="zh-CN"/>
        </w:rPr>
        <w:t>,</w:t>
      </w:r>
      <w:r w:rsidRPr="00C340FB">
        <w:rPr>
          <w:lang w:eastAsia="zh-CN"/>
        </w:rPr>
        <w:t xml:space="preserve"> вимог</w:t>
      </w:r>
      <w:r w:rsidRPr="00DA6F43">
        <w:rPr>
          <w:lang w:eastAsia="zh-CN"/>
        </w:rPr>
        <w:t xml:space="preserve"> </w:t>
      </w:r>
      <w:r w:rsidR="00267B32" w:rsidRPr="00DA6F43">
        <w:rPr>
          <w:lang w:eastAsia="zh-CN"/>
        </w:rPr>
        <w:t>і строків внесення інформації в інформаційні системи страховика про операції</w:t>
      </w:r>
      <w:r w:rsidR="0082422F">
        <w:rPr>
          <w:lang w:eastAsia="zh-CN"/>
        </w:rPr>
        <w:t xml:space="preserve"> зі страхування</w:t>
      </w:r>
      <w:r w:rsidR="00A1523E" w:rsidRPr="00DA6F43">
        <w:rPr>
          <w:lang w:eastAsia="zh-CN"/>
        </w:rPr>
        <w:t xml:space="preserve">, </w:t>
      </w:r>
      <w:r w:rsidR="00604999">
        <w:rPr>
          <w:bCs/>
          <w:lang w:eastAsia="zh-CN"/>
        </w:rPr>
        <w:t>пов’язані</w:t>
      </w:r>
      <w:r w:rsidR="0082422F" w:rsidRPr="0082422F">
        <w:rPr>
          <w:bCs/>
          <w:lang w:eastAsia="zh-CN"/>
        </w:rPr>
        <w:t xml:space="preserve"> зі здійсненням страховиком діяльності із страхування</w:t>
      </w:r>
      <w:r w:rsidR="00641038" w:rsidRPr="00DA6F43">
        <w:t>;</w:t>
      </w:r>
    </w:p>
    <w:p w14:paraId="122DFFA3" w14:textId="77777777" w:rsidR="0038498C" w:rsidRPr="00DA6F43" w:rsidRDefault="00641038" w:rsidP="00641038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t xml:space="preserve">встановлення порядку </w:t>
      </w:r>
      <w:r w:rsidRPr="00DA6F43">
        <w:rPr>
          <w:bCs/>
        </w:rPr>
        <w:t>ведення</w:t>
      </w:r>
      <w:r w:rsidRPr="00DA6F43">
        <w:t xml:space="preserve"> </w:t>
      </w:r>
      <w:r w:rsidRPr="00DA6F43">
        <w:rPr>
          <w:bCs/>
        </w:rPr>
        <w:t>реєстру</w:t>
      </w:r>
      <w:r w:rsidRPr="00DA6F43">
        <w:t xml:space="preserve"> активів для покриття технічних резервів за договорами страхування (перестрахування)</w:t>
      </w:r>
      <w:r w:rsidR="002864C5" w:rsidRPr="00DA6F43">
        <w:rPr>
          <w:lang w:eastAsia="zh-CN"/>
        </w:rPr>
        <w:t>.</w:t>
      </w:r>
    </w:p>
    <w:p w14:paraId="09B4CD3F" w14:textId="7A740957" w:rsidR="008C0A66" w:rsidRPr="00DA6F43" w:rsidRDefault="0038498C" w:rsidP="0052600B">
      <w:pPr>
        <w:widowControl w:val="0"/>
        <w:shd w:val="clear" w:color="auto" w:fill="FFFFFF"/>
        <w:ind w:firstLine="686"/>
        <w:rPr>
          <w:lang w:eastAsia="ru-RU"/>
        </w:rPr>
      </w:pPr>
      <w:r w:rsidRPr="00DA6F43">
        <w:rPr>
          <w:lang w:eastAsia="ru-RU"/>
        </w:rPr>
        <w:t xml:space="preserve">Прийняття регуляторного акта </w:t>
      </w:r>
      <w:r w:rsidR="00001549" w:rsidRPr="00D11F46">
        <w:rPr>
          <w:lang w:eastAsia="ru-RU"/>
        </w:rPr>
        <w:t xml:space="preserve">визначить </w:t>
      </w:r>
      <w:r w:rsidR="00001549" w:rsidRPr="00D11F46">
        <w:rPr>
          <w:rFonts w:eastAsia="Calibri"/>
          <w:lang w:eastAsia="en-US"/>
        </w:rPr>
        <w:t xml:space="preserve">єдині вимоги до ведення страховиками обліку </w:t>
      </w:r>
      <w:r w:rsidR="00F75D87" w:rsidRPr="00D11F46">
        <w:rPr>
          <w:rFonts w:eastAsia="Calibri"/>
          <w:lang w:eastAsia="en-US"/>
        </w:rPr>
        <w:t>договорів, пов’язаних зі здійсненням страховиком діяльності із страхування</w:t>
      </w:r>
      <w:r w:rsidR="00F75D87" w:rsidRPr="00D11F46" w:rsidDel="00F75D87">
        <w:rPr>
          <w:rFonts w:eastAsia="Calibri"/>
          <w:lang w:eastAsia="en-US"/>
        </w:rPr>
        <w:t xml:space="preserve"> </w:t>
      </w:r>
      <w:r w:rsidR="0087432B" w:rsidRPr="00D11F46">
        <w:rPr>
          <w:rFonts w:eastAsia="Calibri"/>
          <w:lang w:eastAsia="en-US"/>
        </w:rPr>
        <w:t>(у тому числі для</w:t>
      </w:r>
      <w:r w:rsidR="0087432B" w:rsidRPr="00D11F46">
        <w:rPr>
          <w:lang w:eastAsia="ru-RU"/>
        </w:rPr>
        <w:t xml:space="preserve"> забезпечення</w:t>
      </w:r>
      <w:r w:rsidR="0087432B" w:rsidRPr="00DA6F43">
        <w:rPr>
          <w:lang w:eastAsia="ru-RU"/>
        </w:rPr>
        <w:t xml:space="preserve"> правової визначеності процесу виходу страховика з ринку, перетворення страховика, </w:t>
      </w:r>
      <w:r w:rsidR="0087432B" w:rsidRPr="00DA6F43">
        <w:rPr>
          <w:shd w:val="clear" w:color="auto" w:fill="FFFFFF"/>
        </w:rPr>
        <w:t>який за своєю організаційно-правовою формою є товариством з додатковою відповідальністю, в акціонерне товариство)</w:t>
      </w:r>
      <w:r w:rsidR="00001549" w:rsidRPr="00DA6F43">
        <w:rPr>
          <w:rFonts w:eastAsia="Calibri"/>
          <w:lang w:eastAsia="en-US"/>
        </w:rPr>
        <w:t xml:space="preserve">, </w:t>
      </w:r>
      <w:r w:rsidR="00864B67" w:rsidRPr="00DA6F43">
        <w:rPr>
          <w:rFonts w:eastAsia="Calibri"/>
          <w:lang w:eastAsia="en-US"/>
        </w:rPr>
        <w:t xml:space="preserve">до захисту інформації страховика і </w:t>
      </w:r>
      <w:r w:rsidR="0087432B" w:rsidRPr="00DA6F43">
        <w:rPr>
          <w:rFonts w:eastAsia="Calibri"/>
          <w:lang w:eastAsia="en-US"/>
        </w:rPr>
        <w:t xml:space="preserve">ведення </w:t>
      </w:r>
      <w:r w:rsidR="00001549" w:rsidRPr="00DA6F43">
        <w:rPr>
          <w:rFonts w:eastAsia="Calibri"/>
          <w:lang w:eastAsia="en-US"/>
        </w:rPr>
        <w:t>реєстру активів для покрит</w:t>
      </w:r>
      <w:r w:rsidR="0087432B" w:rsidRPr="00DA6F43">
        <w:rPr>
          <w:rFonts w:eastAsia="Calibri"/>
          <w:lang w:eastAsia="en-US"/>
        </w:rPr>
        <w:t>тя технічних резервів</w:t>
      </w:r>
      <w:r w:rsidR="00001549" w:rsidRPr="00DA6F43">
        <w:rPr>
          <w:rFonts w:eastAsia="Calibri"/>
          <w:lang w:eastAsia="en-US"/>
        </w:rPr>
        <w:t xml:space="preserve">, забезпечить </w:t>
      </w:r>
      <w:r w:rsidR="00E90D2A" w:rsidRPr="00DA6F43">
        <w:rPr>
          <w:lang w:eastAsia="ru-RU"/>
        </w:rPr>
        <w:t xml:space="preserve">повноту та достовірність звітності, яку подає </w:t>
      </w:r>
      <w:r w:rsidR="006D2711" w:rsidRPr="00DA6F43">
        <w:rPr>
          <w:lang w:eastAsia="ru-RU"/>
        </w:rPr>
        <w:t xml:space="preserve">страховик </w:t>
      </w:r>
      <w:r w:rsidR="00E90D2A" w:rsidRPr="00DA6F43">
        <w:rPr>
          <w:lang w:eastAsia="ru-RU"/>
        </w:rPr>
        <w:t xml:space="preserve">до </w:t>
      </w:r>
      <w:r w:rsidR="008C0A66" w:rsidRPr="00DA6F43">
        <w:rPr>
          <w:lang w:eastAsia="ru-RU"/>
        </w:rPr>
        <w:t>Національного банку</w:t>
      </w:r>
      <w:r w:rsidR="00980332" w:rsidRPr="00DA6F43">
        <w:rPr>
          <w:lang w:eastAsia="ru-RU"/>
        </w:rPr>
        <w:t xml:space="preserve">, </w:t>
      </w:r>
      <w:r w:rsidR="0087432B" w:rsidRPr="00DA6F43">
        <w:rPr>
          <w:lang w:eastAsia="ru-RU"/>
        </w:rPr>
        <w:t xml:space="preserve">а також </w:t>
      </w:r>
      <w:r w:rsidR="00001549" w:rsidRPr="00DA6F43">
        <w:rPr>
          <w:lang w:eastAsia="zh-CN"/>
        </w:rPr>
        <w:t xml:space="preserve">можливість здійснення Національним банком </w:t>
      </w:r>
      <w:r w:rsidR="00001549" w:rsidRPr="00DA6F43">
        <w:rPr>
          <w:shd w:val="clear" w:color="auto" w:fill="FFFFFF"/>
        </w:rPr>
        <w:t>державного регулювання та нагляду за діяльністю</w:t>
      </w:r>
      <w:r w:rsidR="00001549" w:rsidRPr="00DA6F43">
        <w:rPr>
          <w:lang w:eastAsia="zh-CN"/>
        </w:rPr>
        <w:t xml:space="preserve"> у сфері страхування</w:t>
      </w:r>
      <w:r w:rsidRPr="00DA6F43">
        <w:rPr>
          <w:lang w:eastAsia="ru-RU"/>
        </w:rPr>
        <w:t xml:space="preserve">. </w:t>
      </w:r>
    </w:p>
    <w:p w14:paraId="7832AE7B" w14:textId="77777777" w:rsidR="0038498C" w:rsidRPr="00DA6F43" w:rsidRDefault="0038498C" w:rsidP="0052600B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ru-RU"/>
        </w:rPr>
        <w:t xml:space="preserve">Позитивними результатами прийняття акта буде зменшення кількості порушень прав споживачів та додатковий захист прав </w:t>
      </w:r>
      <w:r w:rsidRPr="00DA6F43">
        <w:rPr>
          <w:shd w:val="clear" w:color="auto" w:fill="FFFFFF"/>
        </w:rPr>
        <w:t xml:space="preserve">та законних інтересів клієнтів </w:t>
      </w:r>
      <w:r w:rsidRPr="00DA6F43">
        <w:rPr>
          <w:lang w:eastAsia="ru-RU"/>
        </w:rPr>
        <w:t>щодо виконання зобов’язань страховиками.</w:t>
      </w:r>
    </w:p>
    <w:p w14:paraId="4B5C9CE8" w14:textId="564FDD30" w:rsidR="000427C1" w:rsidRPr="00DA6F43" w:rsidRDefault="000427C1" w:rsidP="000427C1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 xml:space="preserve">2. Негативним наслідком дії регуляторного акта можуть стати додаткові </w:t>
      </w:r>
      <w:r w:rsidR="002864C5" w:rsidRPr="00DA6F43">
        <w:rPr>
          <w:lang w:eastAsia="zh-CN"/>
        </w:rPr>
        <w:t xml:space="preserve">грошові і </w:t>
      </w:r>
      <w:r w:rsidRPr="00DA6F43">
        <w:rPr>
          <w:lang w:eastAsia="zh-CN"/>
        </w:rPr>
        <w:t>часові витрати</w:t>
      </w:r>
      <w:r w:rsidR="008560AC" w:rsidRPr="00DA6F43">
        <w:rPr>
          <w:lang w:eastAsia="zh-CN"/>
        </w:rPr>
        <w:t xml:space="preserve"> страховиків</w:t>
      </w:r>
      <w:r w:rsidRPr="00DA6F43">
        <w:rPr>
          <w:lang w:eastAsia="zh-CN"/>
        </w:rPr>
        <w:t xml:space="preserve">, пов’язані з </w:t>
      </w:r>
      <w:r w:rsidR="00DA5668" w:rsidRPr="00DA6F43">
        <w:rPr>
          <w:lang w:eastAsia="zh-CN"/>
        </w:rPr>
        <w:t xml:space="preserve">приведенням </w:t>
      </w:r>
      <w:r w:rsidR="00DA5668" w:rsidRPr="00DA6F43">
        <w:rPr>
          <w:lang w:eastAsia="ru-RU"/>
        </w:rPr>
        <w:t xml:space="preserve">своєї діяльності у відповідність до вимог регуляторного акта, </w:t>
      </w:r>
      <w:r w:rsidRPr="00DA6F43">
        <w:rPr>
          <w:lang w:eastAsia="zh-CN"/>
        </w:rPr>
        <w:t xml:space="preserve">які, </w:t>
      </w:r>
      <w:r w:rsidR="00744727">
        <w:rPr>
          <w:lang w:eastAsia="zh-CN"/>
        </w:rPr>
        <w:t>зокрема</w:t>
      </w:r>
      <w:r w:rsidRPr="00DA6F43">
        <w:rPr>
          <w:lang w:eastAsia="zh-CN"/>
        </w:rPr>
        <w:t>, здійснюватимуться страховиками в межах кошторисів витрат на поточну операційну діяльність.</w:t>
      </w:r>
    </w:p>
    <w:p w14:paraId="3AFC4806" w14:textId="50E54BCF" w:rsidR="000427C1" w:rsidRPr="00DA6F43" w:rsidRDefault="000427C1" w:rsidP="000427C1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Таким чином, очікувані результати прийняття регуляторного акта мати</w:t>
      </w:r>
      <w:r w:rsidR="00744727">
        <w:rPr>
          <w:lang w:eastAsia="zh-CN"/>
        </w:rPr>
        <w:t>муть</w:t>
      </w:r>
      <w:r w:rsidRPr="00DA6F43">
        <w:rPr>
          <w:lang w:eastAsia="zh-CN"/>
        </w:rPr>
        <w:t xml:space="preserve"> позитивні наслідки для всіх суб’єктів, на яких поширюється дія регуляторного акта.</w:t>
      </w:r>
    </w:p>
    <w:p w14:paraId="7B63DC8D" w14:textId="77777777" w:rsidR="000427C1" w:rsidRPr="00DA6F43" w:rsidRDefault="000427C1" w:rsidP="000427C1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Ураховуючи специфіку сфери правового регулювання акта, не вбачається за можливе обчислення розмірів позитивних та можливих негативних наслідків до його прийняття.</w:t>
      </w:r>
    </w:p>
    <w:p w14:paraId="41110D46" w14:textId="77777777" w:rsidR="000427C1" w:rsidRPr="00DA6F43" w:rsidRDefault="000427C1" w:rsidP="000427C1">
      <w:pPr>
        <w:widowControl w:val="0"/>
        <w:shd w:val="clear" w:color="auto" w:fill="FFFFFF"/>
        <w:ind w:firstLine="686"/>
        <w:rPr>
          <w:lang w:eastAsia="zh-CN"/>
        </w:rPr>
      </w:pPr>
    </w:p>
    <w:p w14:paraId="4637209A" w14:textId="064B7F94" w:rsidR="008560AC" w:rsidRPr="00DA6F43" w:rsidRDefault="008560AC" w:rsidP="00C34681">
      <w:pPr>
        <w:pStyle w:val="1"/>
        <w:rPr>
          <w:rFonts w:cs="Times New Roman"/>
          <w:szCs w:val="28"/>
          <w:lang w:eastAsia="zh-CN"/>
        </w:rPr>
      </w:pPr>
      <w:r w:rsidRPr="00DA6F43">
        <w:rPr>
          <w:rFonts w:cs="Times New Roman"/>
          <w:szCs w:val="28"/>
          <w:lang w:eastAsia="zh-CN"/>
        </w:rPr>
        <w:lastRenderedPageBreak/>
        <w:t xml:space="preserve">VII. Обґрунтування </w:t>
      </w:r>
      <w:r w:rsidR="001C7414" w:rsidRPr="00200036">
        <w:t xml:space="preserve">запропонованого </w:t>
      </w:r>
      <w:r w:rsidRPr="00DA6F43">
        <w:rPr>
          <w:rFonts w:cs="Times New Roman"/>
          <w:szCs w:val="28"/>
          <w:lang w:eastAsia="zh-CN"/>
        </w:rPr>
        <w:t xml:space="preserve">строку </w:t>
      </w:r>
      <w:r w:rsidR="001C7414">
        <w:rPr>
          <w:rFonts w:cs="Times New Roman"/>
          <w:szCs w:val="28"/>
          <w:lang w:eastAsia="zh-CN"/>
        </w:rPr>
        <w:t>дії</w:t>
      </w:r>
      <w:r w:rsidRPr="00DA6F43">
        <w:rPr>
          <w:rFonts w:cs="Times New Roman"/>
          <w:szCs w:val="28"/>
          <w:lang w:eastAsia="zh-CN"/>
        </w:rPr>
        <w:t xml:space="preserve"> акта</w:t>
      </w:r>
    </w:p>
    <w:p w14:paraId="4BEA9C8B" w14:textId="079A2815" w:rsidR="008560AC" w:rsidRPr="00DA6F43" w:rsidRDefault="008560AC" w:rsidP="008560AC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bCs/>
          <w:lang w:eastAsia="zh-CN"/>
        </w:rPr>
        <w:t xml:space="preserve">Запропонований до розгляду акт набиратиме чинності </w:t>
      </w:r>
      <w:r w:rsidR="00DE3816" w:rsidRPr="00DA6F43">
        <w:rPr>
          <w:rFonts w:eastAsia="Calibri"/>
          <w:lang w:eastAsia="en-US"/>
        </w:rPr>
        <w:t>з 01</w:t>
      </w:r>
      <w:r w:rsidR="007239D3">
        <w:rPr>
          <w:rFonts w:eastAsia="Calibri"/>
          <w:lang w:eastAsia="en-US"/>
        </w:rPr>
        <w:t xml:space="preserve"> січня </w:t>
      </w:r>
      <w:r w:rsidR="00DE3816" w:rsidRPr="00DA6F43">
        <w:rPr>
          <w:rFonts w:eastAsia="Calibri"/>
          <w:lang w:eastAsia="en-US"/>
        </w:rPr>
        <w:t xml:space="preserve">2024 </w:t>
      </w:r>
      <w:r w:rsidR="007239D3">
        <w:rPr>
          <w:rFonts w:eastAsia="Calibri"/>
          <w:lang w:eastAsia="en-US"/>
        </w:rPr>
        <w:t xml:space="preserve">року </w:t>
      </w:r>
      <w:r w:rsidR="00DE3816" w:rsidRPr="00DA6F43">
        <w:rPr>
          <w:rFonts w:eastAsia="Calibri"/>
          <w:lang w:eastAsia="en-US"/>
        </w:rPr>
        <w:t>(</w:t>
      </w:r>
      <w:r w:rsidRPr="00DA6F43">
        <w:rPr>
          <w:bCs/>
          <w:lang w:eastAsia="zh-CN"/>
        </w:rPr>
        <w:t>з дня</w:t>
      </w:r>
      <w:r w:rsidRPr="00DA6F43">
        <w:rPr>
          <w:rFonts w:eastAsia="Calibri"/>
          <w:lang w:eastAsia="en-US"/>
        </w:rPr>
        <w:t xml:space="preserve"> </w:t>
      </w:r>
      <w:r w:rsidR="00E369C1" w:rsidRPr="00DA6F43">
        <w:rPr>
          <w:rFonts w:eastAsia="Calibri"/>
          <w:lang w:eastAsia="en-US"/>
        </w:rPr>
        <w:t>введення в дію</w:t>
      </w:r>
      <w:r w:rsidRPr="00DA6F43">
        <w:rPr>
          <w:rFonts w:eastAsia="Calibri"/>
          <w:lang w:eastAsia="en-US"/>
        </w:rPr>
        <w:t xml:space="preserve"> основни</w:t>
      </w:r>
      <w:r w:rsidR="00E369C1" w:rsidRPr="00DA6F43">
        <w:rPr>
          <w:rFonts w:eastAsia="Calibri"/>
          <w:lang w:eastAsia="en-US"/>
        </w:rPr>
        <w:t>х</w:t>
      </w:r>
      <w:r w:rsidRPr="00DA6F43">
        <w:rPr>
          <w:rFonts w:eastAsia="Calibri"/>
          <w:lang w:eastAsia="en-US"/>
        </w:rPr>
        <w:t xml:space="preserve"> положен</w:t>
      </w:r>
      <w:r w:rsidR="00E369C1" w:rsidRPr="00DA6F43">
        <w:rPr>
          <w:rFonts w:eastAsia="Calibri"/>
          <w:lang w:eastAsia="en-US"/>
        </w:rPr>
        <w:t>ь</w:t>
      </w:r>
      <w:r w:rsidRPr="00DA6F43">
        <w:rPr>
          <w:rFonts w:eastAsia="Calibri"/>
          <w:lang w:eastAsia="en-US"/>
        </w:rPr>
        <w:t xml:space="preserve"> Закону про страхування)</w:t>
      </w:r>
      <w:r w:rsidRPr="00DA6F43">
        <w:rPr>
          <w:bCs/>
          <w:lang w:eastAsia="zh-CN"/>
        </w:rPr>
        <w:t>.</w:t>
      </w:r>
    </w:p>
    <w:p w14:paraId="02847038" w14:textId="77777777" w:rsidR="008560AC" w:rsidRPr="00DA6F43" w:rsidRDefault="008560AC" w:rsidP="008560AC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bCs/>
          <w:lang w:eastAsia="zh-CN"/>
        </w:rPr>
        <w:t>Строк дії акта не обмежений у часі.</w:t>
      </w:r>
    </w:p>
    <w:p w14:paraId="2DD1C127" w14:textId="77777777" w:rsidR="008560AC" w:rsidRPr="00DA6F43" w:rsidRDefault="008560AC" w:rsidP="008560AC">
      <w:pPr>
        <w:widowControl w:val="0"/>
        <w:shd w:val="clear" w:color="auto" w:fill="FFFFFF"/>
        <w:ind w:firstLine="686"/>
        <w:rPr>
          <w:b/>
          <w:bCs/>
          <w:lang w:eastAsia="zh-CN"/>
        </w:rPr>
      </w:pPr>
    </w:p>
    <w:p w14:paraId="62EBC079" w14:textId="196A10AF" w:rsidR="000427C1" w:rsidRPr="00DA6F43" w:rsidRDefault="000427C1" w:rsidP="00C34681">
      <w:pPr>
        <w:pStyle w:val="1"/>
        <w:rPr>
          <w:rFonts w:cs="Times New Roman"/>
          <w:szCs w:val="28"/>
          <w:lang w:eastAsia="zh-CN"/>
        </w:rPr>
      </w:pPr>
      <w:r w:rsidRPr="00DA6F43">
        <w:rPr>
          <w:rFonts w:cs="Times New Roman"/>
          <w:szCs w:val="28"/>
          <w:lang w:eastAsia="zh-CN"/>
        </w:rPr>
        <w:t>VI</w:t>
      </w:r>
      <w:r w:rsidR="008560AC" w:rsidRPr="00DA6F43">
        <w:rPr>
          <w:rFonts w:cs="Times New Roman"/>
          <w:szCs w:val="28"/>
          <w:lang w:eastAsia="zh-CN"/>
        </w:rPr>
        <w:t>І</w:t>
      </w:r>
      <w:r w:rsidRPr="00DA6F43">
        <w:rPr>
          <w:rFonts w:cs="Times New Roman"/>
          <w:szCs w:val="28"/>
          <w:lang w:eastAsia="zh-CN"/>
        </w:rPr>
        <w:t>I. Визначення показників результативності акта</w:t>
      </w:r>
    </w:p>
    <w:p w14:paraId="0943C17F" w14:textId="77777777" w:rsidR="000427C1" w:rsidRPr="00DA6F43" w:rsidRDefault="000427C1" w:rsidP="000427C1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Показниками результативності регуляторного акта є:</w:t>
      </w:r>
    </w:p>
    <w:p w14:paraId="0762C8F5" w14:textId="77777777" w:rsidR="00E03992" w:rsidRPr="00DA6F43" w:rsidRDefault="00E03992" w:rsidP="00E03992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bCs/>
          <w:lang w:eastAsia="zh-CN"/>
        </w:rPr>
        <w:t>1) кількість суб’єктів господарювання</w:t>
      </w:r>
      <w:r w:rsidR="00CB6432" w:rsidRPr="00DA6F43">
        <w:rPr>
          <w:bCs/>
          <w:lang w:eastAsia="zh-CN"/>
        </w:rPr>
        <w:t xml:space="preserve"> </w:t>
      </w:r>
      <w:r w:rsidR="00CB6432" w:rsidRPr="00DA6F43">
        <w:rPr>
          <w:lang w:eastAsia="ru-RU"/>
        </w:rPr>
        <w:t>та/або фізичних осіб</w:t>
      </w:r>
      <w:r w:rsidRPr="00DA6F43">
        <w:rPr>
          <w:bCs/>
          <w:lang w:eastAsia="zh-CN"/>
        </w:rPr>
        <w:t>, на яких поширюватиметься дія акта.</w:t>
      </w:r>
    </w:p>
    <w:p w14:paraId="73C40BBC" w14:textId="4BBB214E" w:rsidR="00B47EE5" w:rsidRPr="00DA6F43" w:rsidRDefault="00E03992" w:rsidP="00665C35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bCs/>
          <w:lang w:eastAsia="zh-CN"/>
        </w:rPr>
        <w:t xml:space="preserve">Станом на </w:t>
      </w:r>
      <w:r w:rsidR="00A7468D" w:rsidRPr="00A7468D">
        <w:rPr>
          <w:bCs/>
          <w:lang w:eastAsia="zh-CN"/>
        </w:rPr>
        <w:t xml:space="preserve">01 жовтня 2023 року </w:t>
      </w:r>
      <w:r w:rsidR="00975782" w:rsidRPr="00DA6F43">
        <w:rPr>
          <w:bCs/>
          <w:lang w:eastAsia="zh-CN"/>
        </w:rPr>
        <w:t>з</w:t>
      </w:r>
      <w:r w:rsidRPr="00DA6F43">
        <w:rPr>
          <w:bCs/>
          <w:lang w:eastAsia="zh-CN"/>
        </w:rPr>
        <w:t>агальна кількість страховиків</w:t>
      </w:r>
      <w:r w:rsidR="00975782" w:rsidRPr="00DA6F43">
        <w:rPr>
          <w:bCs/>
          <w:lang w:eastAsia="zh-CN"/>
        </w:rPr>
        <w:t xml:space="preserve"> </w:t>
      </w:r>
      <w:r w:rsidR="00B47EE5" w:rsidRPr="00DA6F43">
        <w:rPr>
          <w:bCs/>
          <w:lang w:eastAsia="zh-CN"/>
        </w:rPr>
        <w:t xml:space="preserve">– </w:t>
      </w:r>
      <w:r w:rsidR="001523D1" w:rsidRPr="00DA6F43">
        <w:rPr>
          <w:bCs/>
          <w:lang w:eastAsia="zh-CN"/>
        </w:rPr>
        <w:t>11</w:t>
      </w:r>
      <w:r w:rsidR="00A7468D">
        <w:rPr>
          <w:bCs/>
          <w:lang w:eastAsia="zh-CN"/>
        </w:rPr>
        <w:t>1</w:t>
      </w:r>
      <w:r w:rsidR="007369A7" w:rsidRPr="00DA6F43">
        <w:rPr>
          <w:bCs/>
          <w:lang w:eastAsia="zh-CN"/>
        </w:rPr>
        <w:t xml:space="preserve">, </w:t>
      </w:r>
      <w:r w:rsidR="00744727">
        <w:rPr>
          <w:bCs/>
          <w:lang w:eastAsia="zh-CN"/>
        </w:rPr>
        <w:t>і</w:t>
      </w:r>
      <w:r w:rsidR="007369A7" w:rsidRPr="00DA6F43">
        <w:rPr>
          <w:bCs/>
          <w:lang w:eastAsia="zh-CN"/>
        </w:rPr>
        <w:t>з них</w:t>
      </w:r>
      <w:r w:rsidR="00B47EE5" w:rsidRPr="00DA6F43">
        <w:rPr>
          <w:bCs/>
          <w:lang w:eastAsia="zh-CN"/>
        </w:rPr>
        <w:t>:</w:t>
      </w:r>
    </w:p>
    <w:p w14:paraId="430315FF" w14:textId="400065FA" w:rsidR="00B47EE5" w:rsidRPr="00DA6F43" w:rsidRDefault="00BE4D8C" w:rsidP="00665C35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bCs/>
          <w:lang w:eastAsia="zh-CN"/>
        </w:rPr>
        <w:t>12</w:t>
      </w:r>
      <w:r w:rsidR="00782608" w:rsidRPr="00DA6F43">
        <w:rPr>
          <w:bCs/>
          <w:lang w:eastAsia="zh-CN"/>
        </w:rPr>
        <w:t xml:space="preserve"> </w:t>
      </w:r>
      <w:r w:rsidR="00A7468D">
        <w:rPr>
          <w:bCs/>
          <w:lang w:eastAsia="zh-CN"/>
        </w:rPr>
        <w:t xml:space="preserve">– </w:t>
      </w:r>
      <w:r w:rsidR="00665C35" w:rsidRPr="00DA6F43">
        <w:rPr>
          <w:bCs/>
          <w:lang w:eastAsia="zh-CN"/>
        </w:rPr>
        <w:t>страховик</w:t>
      </w:r>
      <w:r w:rsidR="00A7468D">
        <w:rPr>
          <w:bCs/>
          <w:lang w:eastAsia="zh-CN"/>
        </w:rPr>
        <w:t>и</w:t>
      </w:r>
      <w:r w:rsidR="00665C35" w:rsidRPr="00DA6F43">
        <w:rPr>
          <w:bCs/>
          <w:lang w:eastAsia="zh-CN"/>
        </w:rPr>
        <w:t>, що провадять діяльність із</w:t>
      </w:r>
      <w:r w:rsidR="00E03992" w:rsidRPr="00DA6F43">
        <w:rPr>
          <w:bCs/>
          <w:lang w:eastAsia="zh-CN"/>
        </w:rPr>
        <w:t xml:space="preserve"> страхування життя</w:t>
      </w:r>
      <w:r w:rsidR="00744727">
        <w:rPr>
          <w:bCs/>
          <w:lang w:eastAsia="zh-CN"/>
        </w:rPr>
        <w:t>;</w:t>
      </w:r>
      <w:r w:rsidR="00B47EE5" w:rsidRPr="00DA6F43">
        <w:rPr>
          <w:bCs/>
          <w:lang w:eastAsia="zh-CN"/>
        </w:rPr>
        <w:t xml:space="preserve"> </w:t>
      </w:r>
    </w:p>
    <w:p w14:paraId="686FA449" w14:textId="02CC438F" w:rsidR="00E03992" w:rsidRPr="00DA6F43" w:rsidRDefault="00A7468D" w:rsidP="00665C35">
      <w:pPr>
        <w:widowControl w:val="0"/>
        <w:shd w:val="clear" w:color="auto" w:fill="FFFFFF"/>
        <w:ind w:firstLine="686"/>
        <w:rPr>
          <w:bCs/>
          <w:lang w:eastAsia="zh-CN"/>
        </w:rPr>
      </w:pPr>
      <w:r>
        <w:rPr>
          <w:bCs/>
          <w:lang w:eastAsia="zh-CN"/>
        </w:rPr>
        <w:t>99 –</w:t>
      </w:r>
      <w:r w:rsidRPr="00DA6F43">
        <w:rPr>
          <w:bCs/>
          <w:lang w:eastAsia="zh-CN"/>
        </w:rPr>
        <w:t xml:space="preserve"> </w:t>
      </w:r>
      <w:r w:rsidR="00B47EE5" w:rsidRPr="00DA6F43">
        <w:rPr>
          <w:bCs/>
          <w:lang w:eastAsia="zh-CN"/>
        </w:rPr>
        <w:t>страховик</w:t>
      </w:r>
      <w:r>
        <w:rPr>
          <w:bCs/>
          <w:lang w:eastAsia="zh-CN"/>
        </w:rPr>
        <w:t>и</w:t>
      </w:r>
      <w:r w:rsidR="00B47EE5" w:rsidRPr="00DA6F43">
        <w:rPr>
          <w:bCs/>
          <w:lang w:eastAsia="zh-CN"/>
        </w:rPr>
        <w:t>, що провадять діяльність із</w:t>
      </w:r>
      <w:r w:rsidR="00B47EE5" w:rsidRPr="00DA6F43">
        <w:rPr>
          <w:lang w:eastAsia="en-US"/>
        </w:rPr>
        <w:t xml:space="preserve"> страхування іншого, ніж страхування життя</w:t>
      </w:r>
      <w:r w:rsidR="003F23C3" w:rsidRPr="00DA6F43">
        <w:rPr>
          <w:bCs/>
          <w:lang w:eastAsia="zh-CN"/>
        </w:rPr>
        <w:t>;</w:t>
      </w:r>
      <w:r w:rsidR="00665C35" w:rsidRPr="00DA6F43" w:rsidDel="00665C35">
        <w:rPr>
          <w:bCs/>
          <w:lang w:eastAsia="zh-CN"/>
        </w:rPr>
        <w:t xml:space="preserve"> </w:t>
      </w:r>
    </w:p>
    <w:p w14:paraId="1DFE7DC2" w14:textId="77777777" w:rsidR="0012217A" w:rsidRPr="00DA6F43" w:rsidRDefault="0012217A" w:rsidP="0012217A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bCs/>
          <w:lang w:eastAsia="zh-CN"/>
        </w:rPr>
        <w:t xml:space="preserve">2) </w:t>
      </w:r>
      <w:r w:rsidR="003F23C3" w:rsidRPr="00DA6F43">
        <w:rPr>
          <w:bCs/>
          <w:lang w:eastAsia="zh-CN"/>
        </w:rPr>
        <w:t>к</w:t>
      </w:r>
      <w:r w:rsidRPr="00DA6F43">
        <w:rPr>
          <w:bCs/>
          <w:lang w:eastAsia="zh-CN"/>
        </w:rPr>
        <w:t>ошти і час, що витрачатимуть суб’єкти господарювання та/або фізичні особи у зв’язку з виконанням вимог регуляторного акта.</w:t>
      </w:r>
    </w:p>
    <w:p w14:paraId="472B2AE8" w14:textId="77777777" w:rsidR="0012217A" w:rsidRPr="00DA6F43" w:rsidRDefault="0012217A" w:rsidP="0012217A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t>В</w:t>
      </w:r>
      <w:r w:rsidRPr="00DA6F43">
        <w:rPr>
          <w:bCs/>
          <w:lang w:eastAsia="zh-CN"/>
        </w:rPr>
        <w:t>итрати коштів та часу фізичних осіб, пов’язані з виконанням вимог акта, не передбачаються.</w:t>
      </w:r>
    </w:p>
    <w:p w14:paraId="5E19DF4B" w14:textId="6A54F212" w:rsidR="0012217A" w:rsidRPr="00DA6F43" w:rsidRDefault="00E923C4" w:rsidP="0012217A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bCs/>
          <w:lang w:eastAsia="zh-CN"/>
        </w:rPr>
        <w:t>Грошові і ч</w:t>
      </w:r>
      <w:r w:rsidR="0012217A" w:rsidRPr="00DA6F43">
        <w:rPr>
          <w:bCs/>
          <w:lang w:eastAsia="zh-CN"/>
        </w:rPr>
        <w:t xml:space="preserve">асові витрати </w:t>
      </w:r>
      <w:r w:rsidR="0012217A" w:rsidRPr="00D11F46">
        <w:rPr>
          <w:bCs/>
          <w:lang w:eastAsia="zh-CN"/>
        </w:rPr>
        <w:t xml:space="preserve">страховиків пов’язані з приведенням у відповідність до вимог регуляторного акта своєї діяльності, </w:t>
      </w:r>
      <w:r w:rsidR="00744727">
        <w:rPr>
          <w:bCs/>
          <w:lang w:eastAsia="zh-CN"/>
        </w:rPr>
        <w:t>у</w:t>
      </w:r>
      <w:r w:rsidR="00744727" w:rsidRPr="00D11F46">
        <w:rPr>
          <w:bCs/>
          <w:lang w:eastAsia="zh-CN"/>
        </w:rPr>
        <w:t xml:space="preserve"> </w:t>
      </w:r>
      <w:r w:rsidR="0012217A" w:rsidRPr="00D11F46">
        <w:rPr>
          <w:bCs/>
          <w:lang w:eastAsia="zh-CN"/>
        </w:rPr>
        <w:t xml:space="preserve">тому числі щодо </w:t>
      </w:r>
      <w:r w:rsidR="00126D98" w:rsidRPr="00D11F46">
        <w:rPr>
          <w:bCs/>
          <w:lang w:eastAsia="zh-CN"/>
        </w:rPr>
        <w:t xml:space="preserve">обліку </w:t>
      </w:r>
      <w:r w:rsidR="00DD5F73" w:rsidRPr="00D11F46">
        <w:rPr>
          <w:bCs/>
          <w:lang w:eastAsia="zh-CN"/>
        </w:rPr>
        <w:t>договорів, пов’язаних зі здійсненням діяльності із страхування,</w:t>
      </w:r>
      <w:r w:rsidR="00DD5F73" w:rsidRPr="00D11F46" w:rsidDel="00DD5F73">
        <w:rPr>
          <w:bCs/>
          <w:lang w:eastAsia="zh-CN"/>
        </w:rPr>
        <w:t xml:space="preserve"> </w:t>
      </w:r>
      <w:r w:rsidR="00126D98" w:rsidRPr="00D11F46">
        <w:rPr>
          <w:bCs/>
          <w:lang w:eastAsia="zh-CN"/>
        </w:rPr>
        <w:t>в інформаційних системах</w:t>
      </w:r>
      <w:r w:rsidR="004E53AF" w:rsidRPr="00DA6F43">
        <w:rPr>
          <w:bCs/>
          <w:lang w:eastAsia="zh-CN"/>
        </w:rPr>
        <w:t xml:space="preserve"> відповідно до вимог цього регуляторного акта</w:t>
      </w:r>
      <w:r w:rsidR="003F23C3" w:rsidRPr="00DA6F43">
        <w:rPr>
          <w:bCs/>
          <w:lang w:eastAsia="zh-CN"/>
        </w:rPr>
        <w:t>;</w:t>
      </w:r>
    </w:p>
    <w:p w14:paraId="2198385C" w14:textId="77777777" w:rsidR="00975782" w:rsidRPr="00DA6F43" w:rsidRDefault="0012217A" w:rsidP="00A30829">
      <w:pPr>
        <w:widowControl w:val="0"/>
        <w:shd w:val="clear" w:color="auto" w:fill="FFFFFF"/>
        <w:ind w:firstLine="567"/>
        <w:rPr>
          <w:lang w:eastAsia="en-US"/>
        </w:rPr>
      </w:pPr>
      <w:r w:rsidRPr="00DA6F43">
        <w:rPr>
          <w:lang w:eastAsia="en-US"/>
        </w:rPr>
        <w:t>3</w:t>
      </w:r>
      <w:r w:rsidR="00975782" w:rsidRPr="00DA6F43">
        <w:rPr>
          <w:lang w:eastAsia="en-US"/>
        </w:rPr>
        <w:t xml:space="preserve">) </w:t>
      </w:r>
      <w:r w:rsidR="003F23C3" w:rsidRPr="00DA6F43">
        <w:rPr>
          <w:lang w:eastAsia="en-US"/>
        </w:rPr>
        <w:t>о</w:t>
      </w:r>
      <w:r w:rsidR="00975782" w:rsidRPr="00DA6F43">
        <w:rPr>
          <w:lang w:eastAsia="en-US"/>
        </w:rPr>
        <w:t xml:space="preserve">бсяг </w:t>
      </w:r>
      <w:r w:rsidR="004D675B" w:rsidRPr="00DA6F43">
        <w:rPr>
          <w:lang w:eastAsia="en-US"/>
        </w:rPr>
        <w:t xml:space="preserve">валових </w:t>
      </w:r>
      <w:r w:rsidR="00975782" w:rsidRPr="00DA6F43">
        <w:rPr>
          <w:lang w:eastAsia="en-US"/>
        </w:rPr>
        <w:t>страхових премій.</w:t>
      </w:r>
    </w:p>
    <w:p w14:paraId="67B6DB6A" w14:textId="57D79CF7" w:rsidR="00A660E5" w:rsidRPr="00DA6F43" w:rsidRDefault="00F711A7" w:rsidP="009618C9">
      <w:pPr>
        <w:widowControl w:val="0"/>
        <w:shd w:val="clear" w:color="auto" w:fill="FFFFFF"/>
        <w:ind w:firstLine="686"/>
        <w:rPr>
          <w:lang w:eastAsia="en-US"/>
        </w:rPr>
      </w:pPr>
      <w:r w:rsidRPr="00DA6F43">
        <w:rPr>
          <w:lang w:eastAsia="en-US"/>
        </w:rPr>
        <w:t>За перше півріччя 2023 року</w:t>
      </w:r>
      <w:r w:rsidR="00A660E5" w:rsidRPr="00DA6F43">
        <w:rPr>
          <w:lang w:eastAsia="en-US"/>
        </w:rPr>
        <w:t xml:space="preserve"> </w:t>
      </w:r>
      <w:r w:rsidR="00975782" w:rsidRPr="00DA6F43">
        <w:rPr>
          <w:lang w:eastAsia="en-US"/>
        </w:rPr>
        <w:t>обсяг валових</w:t>
      </w:r>
      <w:r w:rsidR="009618C9" w:rsidRPr="00DA6F43">
        <w:rPr>
          <w:lang w:eastAsia="en-US"/>
        </w:rPr>
        <w:t xml:space="preserve"> </w:t>
      </w:r>
      <w:r w:rsidR="00975782" w:rsidRPr="00DA6F43">
        <w:rPr>
          <w:lang w:eastAsia="en-US"/>
        </w:rPr>
        <w:t xml:space="preserve">страхових премій </w:t>
      </w:r>
      <w:r w:rsidR="00744727">
        <w:rPr>
          <w:lang w:eastAsia="en-US"/>
        </w:rPr>
        <w:t>становив</w:t>
      </w:r>
      <w:r w:rsidR="00744727" w:rsidRPr="00DA6F43">
        <w:rPr>
          <w:lang w:eastAsia="en-US"/>
        </w:rPr>
        <w:t xml:space="preserve"> </w:t>
      </w:r>
      <w:r w:rsidRPr="00DA6F43">
        <w:rPr>
          <w:lang w:eastAsia="en-US"/>
        </w:rPr>
        <w:t>21 354,7</w:t>
      </w:r>
      <w:r w:rsidR="001523D1" w:rsidRPr="00DA6F43">
        <w:rPr>
          <w:lang w:eastAsia="en-US"/>
        </w:rPr>
        <w:t xml:space="preserve"> </w:t>
      </w:r>
      <w:r w:rsidRPr="00DA6F43">
        <w:rPr>
          <w:lang w:eastAsia="en-US"/>
        </w:rPr>
        <w:t>млн</w:t>
      </w:r>
      <w:r w:rsidR="001523D1" w:rsidRPr="00DA6F43">
        <w:rPr>
          <w:lang w:eastAsia="en-US"/>
        </w:rPr>
        <w:t xml:space="preserve"> </w:t>
      </w:r>
      <w:r w:rsidR="006107CD" w:rsidRPr="00DA6F43">
        <w:rPr>
          <w:lang w:eastAsia="en-US"/>
        </w:rPr>
        <w:t>грн</w:t>
      </w:r>
      <w:r w:rsidR="00AA12CC" w:rsidRPr="00DA6F43">
        <w:rPr>
          <w:lang w:eastAsia="en-US"/>
        </w:rPr>
        <w:t>,</w:t>
      </w:r>
      <w:r w:rsidR="00975782" w:rsidRPr="00DA6F43">
        <w:rPr>
          <w:lang w:eastAsia="en-US"/>
        </w:rPr>
        <w:t xml:space="preserve"> </w:t>
      </w:r>
      <w:r w:rsidR="00744727">
        <w:rPr>
          <w:lang w:eastAsia="en-US"/>
        </w:rPr>
        <w:t>і</w:t>
      </w:r>
      <w:r w:rsidR="00A660E5" w:rsidRPr="00DA6F43">
        <w:rPr>
          <w:lang w:eastAsia="en-US"/>
        </w:rPr>
        <w:t>з них:</w:t>
      </w:r>
    </w:p>
    <w:p w14:paraId="6D0C61F9" w14:textId="05AD9650" w:rsidR="00A660E5" w:rsidRPr="00DA6F43" w:rsidRDefault="001523D1" w:rsidP="00A660E5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lang w:eastAsia="en-US"/>
        </w:rPr>
        <w:t>2</w:t>
      </w:r>
      <w:r w:rsidR="007B49E8" w:rsidRPr="00DA6F43">
        <w:rPr>
          <w:lang w:eastAsia="en-US"/>
        </w:rPr>
        <w:t> </w:t>
      </w:r>
      <w:r w:rsidRPr="00DA6F43">
        <w:rPr>
          <w:lang w:eastAsia="en-US"/>
        </w:rPr>
        <w:t xml:space="preserve">259,9 </w:t>
      </w:r>
      <w:r w:rsidR="00F711A7" w:rsidRPr="00DA6F43">
        <w:rPr>
          <w:lang w:eastAsia="en-US"/>
        </w:rPr>
        <w:t>млн</w:t>
      </w:r>
      <w:r w:rsidRPr="00DA6F43">
        <w:rPr>
          <w:lang w:eastAsia="en-US"/>
        </w:rPr>
        <w:t xml:space="preserve"> </w:t>
      </w:r>
      <w:r w:rsidR="00A56E8D" w:rsidRPr="00DA6F43">
        <w:rPr>
          <w:lang w:eastAsia="en-US"/>
        </w:rPr>
        <w:t>грн</w:t>
      </w:r>
      <w:r w:rsidR="00A660E5" w:rsidRPr="00DA6F43">
        <w:rPr>
          <w:lang w:eastAsia="en-US"/>
        </w:rPr>
        <w:t xml:space="preserve"> зібрано </w:t>
      </w:r>
      <w:r w:rsidR="00A660E5" w:rsidRPr="00DA6F43">
        <w:rPr>
          <w:bCs/>
          <w:lang w:eastAsia="zh-CN"/>
        </w:rPr>
        <w:t>страховиками, що провадять діяльність із страхування життя</w:t>
      </w:r>
      <w:r w:rsidR="007239D3">
        <w:rPr>
          <w:bCs/>
          <w:lang w:eastAsia="zh-CN"/>
        </w:rPr>
        <w:t>;</w:t>
      </w:r>
      <w:r w:rsidR="00A660E5" w:rsidRPr="00DA6F43">
        <w:rPr>
          <w:bCs/>
          <w:lang w:eastAsia="zh-CN"/>
        </w:rPr>
        <w:t xml:space="preserve"> </w:t>
      </w:r>
    </w:p>
    <w:p w14:paraId="0F177FF3" w14:textId="77777777" w:rsidR="00A660E5" w:rsidRPr="00DA6F43" w:rsidRDefault="00F711A7" w:rsidP="00A660E5">
      <w:pPr>
        <w:widowControl w:val="0"/>
        <w:shd w:val="clear" w:color="auto" w:fill="FFFFFF"/>
        <w:ind w:firstLine="686"/>
        <w:rPr>
          <w:lang w:eastAsia="en-US"/>
        </w:rPr>
      </w:pPr>
      <w:r w:rsidRPr="00DA6F43">
        <w:rPr>
          <w:lang w:eastAsia="en-US"/>
        </w:rPr>
        <w:t>19</w:t>
      </w:r>
      <w:r w:rsidR="003F23C3" w:rsidRPr="00DA6F43">
        <w:rPr>
          <w:lang w:eastAsia="en-US"/>
        </w:rPr>
        <w:t> </w:t>
      </w:r>
      <w:r w:rsidRPr="00DA6F43">
        <w:rPr>
          <w:lang w:eastAsia="en-US"/>
        </w:rPr>
        <w:t>094,8</w:t>
      </w:r>
      <w:r w:rsidR="001523D1" w:rsidRPr="00DA6F43">
        <w:rPr>
          <w:lang w:eastAsia="en-US"/>
        </w:rPr>
        <w:t xml:space="preserve"> </w:t>
      </w:r>
      <w:r w:rsidRPr="00DA6F43">
        <w:rPr>
          <w:lang w:eastAsia="en-US"/>
        </w:rPr>
        <w:t>млн</w:t>
      </w:r>
      <w:r w:rsidR="001523D1" w:rsidRPr="00DA6F43">
        <w:rPr>
          <w:lang w:eastAsia="en-US"/>
        </w:rPr>
        <w:t xml:space="preserve"> </w:t>
      </w:r>
      <w:r w:rsidR="00A56E8D" w:rsidRPr="00DA6F43">
        <w:rPr>
          <w:lang w:eastAsia="en-US"/>
        </w:rPr>
        <w:t>грн</w:t>
      </w:r>
      <w:r w:rsidR="00A660E5" w:rsidRPr="00DA6F43">
        <w:rPr>
          <w:lang w:eastAsia="en-US"/>
        </w:rPr>
        <w:t xml:space="preserve"> зібрано </w:t>
      </w:r>
      <w:r w:rsidR="00A660E5" w:rsidRPr="00DA6F43">
        <w:rPr>
          <w:bCs/>
          <w:lang w:eastAsia="zh-CN"/>
        </w:rPr>
        <w:t>страховиками, що провадять діяльність із</w:t>
      </w:r>
      <w:r w:rsidR="00A660E5" w:rsidRPr="00DA6F43">
        <w:rPr>
          <w:lang w:eastAsia="en-US"/>
        </w:rPr>
        <w:t xml:space="preserve"> страхування іншого, ніж страхування життя</w:t>
      </w:r>
      <w:r w:rsidR="001523D1" w:rsidRPr="00DA6F43">
        <w:rPr>
          <w:lang w:eastAsia="en-US"/>
        </w:rPr>
        <w:t>;</w:t>
      </w:r>
    </w:p>
    <w:p w14:paraId="139455BC" w14:textId="77777777" w:rsidR="00A660E5" w:rsidRPr="00DA6F43" w:rsidRDefault="0012217A" w:rsidP="00A660E5">
      <w:pPr>
        <w:widowControl w:val="0"/>
        <w:shd w:val="clear" w:color="auto" w:fill="FFFFFF"/>
        <w:ind w:firstLine="686"/>
        <w:rPr>
          <w:lang w:eastAsia="en-US"/>
        </w:rPr>
      </w:pPr>
      <w:r w:rsidRPr="00DA6F43">
        <w:rPr>
          <w:lang w:eastAsia="en-US"/>
        </w:rPr>
        <w:t>4</w:t>
      </w:r>
      <w:r w:rsidR="00030371" w:rsidRPr="00DA6F43">
        <w:rPr>
          <w:lang w:eastAsia="en-US"/>
        </w:rPr>
        <w:t xml:space="preserve">) </w:t>
      </w:r>
      <w:r w:rsidR="003F23C3" w:rsidRPr="00DA6F43">
        <w:rPr>
          <w:lang w:eastAsia="en-US"/>
        </w:rPr>
        <w:t>о</w:t>
      </w:r>
      <w:r w:rsidR="00975782" w:rsidRPr="00DA6F43">
        <w:rPr>
          <w:lang w:eastAsia="en-US"/>
        </w:rPr>
        <w:t>бсяг страхових виплат</w:t>
      </w:r>
      <w:r w:rsidR="00A660E5" w:rsidRPr="00DA6F43">
        <w:rPr>
          <w:lang w:eastAsia="en-US"/>
        </w:rPr>
        <w:t xml:space="preserve">, здійснених страховиками </w:t>
      </w:r>
      <w:r w:rsidR="00F711A7" w:rsidRPr="00DA6F43">
        <w:rPr>
          <w:lang w:eastAsia="en-US"/>
        </w:rPr>
        <w:t>протягом першого півріччя 2023 року</w:t>
      </w:r>
      <w:r w:rsidR="00A660E5" w:rsidRPr="00DA6F43">
        <w:rPr>
          <w:lang w:eastAsia="en-US"/>
        </w:rPr>
        <w:t xml:space="preserve">, </w:t>
      </w:r>
      <w:r w:rsidR="00030371" w:rsidRPr="00DA6F43">
        <w:rPr>
          <w:lang w:eastAsia="en-US"/>
        </w:rPr>
        <w:t>становить</w:t>
      </w:r>
      <w:r w:rsidR="001523D1" w:rsidRPr="00DA6F43">
        <w:rPr>
          <w:lang w:eastAsia="en-US"/>
        </w:rPr>
        <w:t xml:space="preserve"> </w:t>
      </w:r>
      <w:r w:rsidR="00F711A7" w:rsidRPr="00DA6F43">
        <w:rPr>
          <w:lang w:eastAsia="en-US"/>
        </w:rPr>
        <w:t>7 817,5</w:t>
      </w:r>
      <w:r w:rsidR="001523D1" w:rsidRPr="00DA6F43">
        <w:rPr>
          <w:lang w:eastAsia="en-US"/>
        </w:rPr>
        <w:t xml:space="preserve"> </w:t>
      </w:r>
      <w:r w:rsidR="00F711A7" w:rsidRPr="00DA6F43">
        <w:rPr>
          <w:lang w:eastAsia="en-US"/>
        </w:rPr>
        <w:t>млн</w:t>
      </w:r>
      <w:r w:rsidR="001523D1" w:rsidRPr="00DA6F43">
        <w:rPr>
          <w:lang w:eastAsia="en-US"/>
        </w:rPr>
        <w:t xml:space="preserve"> </w:t>
      </w:r>
      <w:r w:rsidR="00A56E8D" w:rsidRPr="00DA6F43">
        <w:rPr>
          <w:lang w:eastAsia="en-US"/>
        </w:rPr>
        <w:t>грн</w:t>
      </w:r>
      <w:r w:rsidR="00A660E5" w:rsidRPr="00DA6F43">
        <w:rPr>
          <w:lang w:eastAsia="en-US"/>
        </w:rPr>
        <w:t xml:space="preserve">, </w:t>
      </w:r>
      <w:r w:rsidR="00736F19" w:rsidRPr="00DA6F43">
        <w:rPr>
          <w:lang w:eastAsia="en-US"/>
        </w:rPr>
        <w:t>у тому числі</w:t>
      </w:r>
      <w:r w:rsidR="00A660E5" w:rsidRPr="00DA6F43">
        <w:rPr>
          <w:lang w:eastAsia="en-US"/>
        </w:rPr>
        <w:t>:</w:t>
      </w:r>
    </w:p>
    <w:p w14:paraId="3CA9D993" w14:textId="6F6C21B9" w:rsidR="00A660E5" w:rsidRPr="00DA6F43" w:rsidRDefault="001523D1" w:rsidP="00A660E5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lang w:eastAsia="en-US"/>
        </w:rPr>
        <w:t xml:space="preserve">576,2 </w:t>
      </w:r>
      <w:r w:rsidR="00231521" w:rsidRPr="00DA6F43">
        <w:rPr>
          <w:lang w:eastAsia="en-US"/>
        </w:rPr>
        <w:t>млн</w:t>
      </w:r>
      <w:r w:rsidRPr="00DA6F43" w:rsidDel="001523D1">
        <w:rPr>
          <w:lang w:eastAsia="en-US"/>
        </w:rPr>
        <w:t xml:space="preserve"> </w:t>
      </w:r>
      <w:r w:rsidR="00A56E8D" w:rsidRPr="00DA6F43">
        <w:rPr>
          <w:lang w:eastAsia="en-US"/>
        </w:rPr>
        <w:t>грн</w:t>
      </w:r>
      <w:r w:rsidR="006107CD" w:rsidRPr="00DA6F43">
        <w:rPr>
          <w:lang w:eastAsia="en-US"/>
        </w:rPr>
        <w:t xml:space="preserve"> </w:t>
      </w:r>
      <w:r w:rsidR="00A660E5" w:rsidRPr="00DA6F43">
        <w:rPr>
          <w:lang w:eastAsia="en-US"/>
        </w:rPr>
        <w:t xml:space="preserve">страхових виплат здійснено </w:t>
      </w:r>
      <w:r w:rsidR="00A660E5" w:rsidRPr="00DA6F43">
        <w:rPr>
          <w:bCs/>
          <w:lang w:eastAsia="zh-CN"/>
        </w:rPr>
        <w:t>за договорами страхування життя</w:t>
      </w:r>
      <w:r w:rsidR="00744727">
        <w:rPr>
          <w:bCs/>
          <w:lang w:eastAsia="zh-CN"/>
        </w:rPr>
        <w:t>;</w:t>
      </w:r>
      <w:r w:rsidR="00A660E5" w:rsidRPr="00DA6F43">
        <w:rPr>
          <w:bCs/>
          <w:lang w:eastAsia="zh-CN"/>
        </w:rPr>
        <w:t xml:space="preserve"> </w:t>
      </w:r>
    </w:p>
    <w:p w14:paraId="5B0CB2CB" w14:textId="77777777" w:rsidR="005B6D54" w:rsidRPr="00DA6F43" w:rsidRDefault="00231521" w:rsidP="00A660E5">
      <w:pPr>
        <w:widowControl w:val="0"/>
        <w:shd w:val="clear" w:color="auto" w:fill="FFFFFF"/>
        <w:ind w:firstLine="686"/>
        <w:rPr>
          <w:lang w:eastAsia="en-US"/>
        </w:rPr>
      </w:pPr>
      <w:r w:rsidRPr="00DA6F43">
        <w:rPr>
          <w:lang w:eastAsia="en-US"/>
        </w:rPr>
        <w:t>7 241,3</w:t>
      </w:r>
      <w:r w:rsidR="001523D1" w:rsidRPr="00DA6F43">
        <w:rPr>
          <w:lang w:eastAsia="en-US"/>
        </w:rPr>
        <w:t xml:space="preserve"> </w:t>
      </w:r>
      <w:r w:rsidRPr="00DA6F43">
        <w:rPr>
          <w:lang w:eastAsia="en-US"/>
        </w:rPr>
        <w:t>млн</w:t>
      </w:r>
      <w:r w:rsidR="001523D1" w:rsidRPr="00DA6F43" w:rsidDel="001523D1">
        <w:rPr>
          <w:lang w:eastAsia="en-US"/>
        </w:rPr>
        <w:t xml:space="preserve"> </w:t>
      </w:r>
      <w:r w:rsidR="00A56E8D" w:rsidRPr="00DA6F43">
        <w:rPr>
          <w:lang w:eastAsia="en-US"/>
        </w:rPr>
        <w:t>грн</w:t>
      </w:r>
      <w:r w:rsidR="006107CD" w:rsidRPr="00DA6F43">
        <w:rPr>
          <w:lang w:eastAsia="en-US"/>
        </w:rPr>
        <w:t xml:space="preserve"> </w:t>
      </w:r>
      <w:r w:rsidR="00A660E5" w:rsidRPr="00DA6F43">
        <w:rPr>
          <w:lang w:eastAsia="en-US"/>
        </w:rPr>
        <w:t xml:space="preserve">страхових виплат здійснено </w:t>
      </w:r>
      <w:r w:rsidR="00A660E5" w:rsidRPr="00DA6F43">
        <w:rPr>
          <w:bCs/>
          <w:lang w:eastAsia="zh-CN"/>
        </w:rPr>
        <w:t xml:space="preserve">за договорами страхування </w:t>
      </w:r>
      <w:r w:rsidR="00A660E5" w:rsidRPr="00DA6F43">
        <w:rPr>
          <w:lang w:eastAsia="en-US"/>
        </w:rPr>
        <w:t>іншого, ніж страхування життя</w:t>
      </w:r>
      <w:r w:rsidR="001523D1" w:rsidRPr="00DA6F43">
        <w:rPr>
          <w:lang w:eastAsia="en-US"/>
        </w:rPr>
        <w:t>;</w:t>
      </w:r>
    </w:p>
    <w:p w14:paraId="11340026" w14:textId="2256ABEC" w:rsidR="001523D1" w:rsidRPr="00DA6F43" w:rsidRDefault="001523D1" w:rsidP="001523D1">
      <w:pPr>
        <w:widowControl w:val="0"/>
        <w:shd w:val="clear" w:color="auto" w:fill="FFFFFF"/>
        <w:ind w:firstLine="686"/>
        <w:rPr>
          <w:lang w:eastAsia="en-US"/>
        </w:rPr>
      </w:pPr>
      <w:r w:rsidRPr="00DA6F43">
        <w:rPr>
          <w:lang w:eastAsia="en-US"/>
        </w:rPr>
        <w:t xml:space="preserve">5) </w:t>
      </w:r>
      <w:r w:rsidR="0098211E" w:rsidRPr="00DA6F43">
        <w:rPr>
          <w:lang w:eastAsia="en-US"/>
        </w:rPr>
        <w:t>о</w:t>
      </w:r>
      <w:r w:rsidRPr="00DA6F43">
        <w:rPr>
          <w:lang w:eastAsia="en-US"/>
        </w:rPr>
        <w:t xml:space="preserve">бсяг страхових резервів, сформованих страховиками </w:t>
      </w:r>
      <w:r w:rsidR="00851BD8" w:rsidRPr="00DA6F43">
        <w:rPr>
          <w:lang w:eastAsia="en-US"/>
        </w:rPr>
        <w:t xml:space="preserve">станом </w:t>
      </w:r>
      <w:r w:rsidRPr="00DA6F43">
        <w:rPr>
          <w:lang w:eastAsia="en-US"/>
        </w:rPr>
        <w:t xml:space="preserve"> </w:t>
      </w:r>
      <w:r w:rsidR="00EF2C9C" w:rsidRPr="00EF2C9C">
        <w:rPr>
          <w:lang w:val="ru-RU" w:eastAsia="en-US"/>
        </w:rPr>
        <w:t xml:space="preserve">на </w:t>
      </w:r>
      <w:r w:rsidR="00EF2C9C" w:rsidRPr="00EF2C9C">
        <w:rPr>
          <w:lang w:eastAsia="en-US"/>
        </w:rPr>
        <w:t>01 липня 2023 року</w:t>
      </w:r>
      <w:r w:rsidRPr="00DA6F43">
        <w:rPr>
          <w:lang w:eastAsia="en-US"/>
        </w:rPr>
        <w:t xml:space="preserve">, становить </w:t>
      </w:r>
      <w:r w:rsidR="00231521" w:rsidRPr="00DA6F43">
        <w:rPr>
          <w:lang w:eastAsia="en-US"/>
        </w:rPr>
        <w:t>42 480,9</w:t>
      </w:r>
      <w:r w:rsidRPr="00DA6F43">
        <w:rPr>
          <w:lang w:eastAsia="en-US"/>
        </w:rPr>
        <w:t xml:space="preserve"> </w:t>
      </w:r>
      <w:r w:rsidR="00231521" w:rsidRPr="00DA6F43">
        <w:rPr>
          <w:lang w:eastAsia="en-US"/>
        </w:rPr>
        <w:t>млн</w:t>
      </w:r>
      <w:r w:rsidRPr="00DA6F43">
        <w:rPr>
          <w:lang w:eastAsia="en-US"/>
        </w:rPr>
        <w:t xml:space="preserve"> грн, у тому числі:</w:t>
      </w:r>
    </w:p>
    <w:p w14:paraId="12F66296" w14:textId="720E3DFF" w:rsidR="001523D1" w:rsidRPr="00DA6F43" w:rsidRDefault="0006031F" w:rsidP="001523D1">
      <w:pPr>
        <w:widowControl w:val="0"/>
        <w:shd w:val="clear" w:color="auto" w:fill="FFFFFF"/>
        <w:ind w:firstLine="686"/>
        <w:rPr>
          <w:bCs/>
          <w:lang w:eastAsia="zh-CN"/>
        </w:rPr>
      </w:pPr>
      <w:r w:rsidRPr="00DA6F43">
        <w:rPr>
          <w:lang w:eastAsia="en-US"/>
        </w:rPr>
        <w:t>18</w:t>
      </w:r>
      <w:r w:rsidR="007B49E8" w:rsidRPr="00DA6F43">
        <w:rPr>
          <w:lang w:eastAsia="en-US"/>
        </w:rPr>
        <w:t> </w:t>
      </w:r>
      <w:r w:rsidRPr="00DA6F43">
        <w:rPr>
          <w:lang w:eastAsia="en-US"/>
        </w:rPr>
        <w:t>119,5</w:t>
      </w:r>
      <w:r w:rsidR="001523D1" w:rsidRPr="00DA6F43">
        <w:rPr>
          <w:lang w:eastAsia="en-US"/>
        </w:rPr>
        <w:t xml:space="preserve"> </w:t>
      </w:r>
      <w:r w:rsidR="00231521" w:rsidRPr="00DA6F43">
        <w:rPr>
          <w:lang w:eastAsia="en-US"/>
        </w:rPr>
        <w:t>млн</w:t>
      </w:r>
      <w:r w:rsidR="001523D1" w:rsidRPr="00DA6F43" w:rsidDel="001523D1">
        <w:rPr>
          <w:lang w:eastAsia="en-US"/>
        </w:rPr>
        <w:t xml:space="preserve"> </w:t>
      </w:r>
      <w:r w:rsidR="001523D1" w:rsidRPr="00DA6F43">
        <w:rPr>
          <w:lang w:eastAsia="en-US"/>
        </w:rPr>
        <w:t xml:space="preserve">грн </w:t>
      </w:r>
      <w:r w:rsidR="001523D1" w:rsidRPr="00DA6F43">
        <w:rPr>
          <w:bCs/>
          <w:lang w:eastAsia="zh-CN"/>
        </w:rPr>
        <w:t>за договорами страхування життя</w:t>
      </w:r>
      <w:r w:rsidR="00744727">
        <w:rPr>
          <w:bCs/>
          <w:lang w:eastAsia="zh-CN"/>
        </w:rPr>
        <w:t>;</w:t>
      </w:r>
      <w:r w:rsidR="001523D1" w:rsidRPr="00DA6F43">
        <w:rPr>
          <w:bCs/>
          <w:lang w:eastAsia="zh-CN"/>
        </w:rPr>
        <w:t xml:space="preserve"> </w:t>
      </w:r>
    </w:p>
    <w:p w14:paraId="607D4B33" w14:textId="238F80A9" w:rsidR="00265F33" w:rsidRPr="00DA6F43" w:rsidRDefault="00231521" w:rsidP="00EE45E6">
      <w:pPr>
        <w:widowControl w:val="0"/>
        <w:shd w:val="clear" w:color="auto" w:fill="FFFFFF"/>
        <w:tabs>
          <w:tab w:val="left" w:pos="4678"/>
        </w:tabs>
        <w:ind w:firstLine="686"/>
        <w:rPr>
          <w:lang w:eastAsia="zh-CN"/>
        </w:rPr>
      </w:pPr>
      <w:r w:rsidRPr="00DA6F43">
        <w:rPr>
          <w:lang w:eastAsia="en-US"/>
        </w:rPr>
        <w:t>24 361,4</w:t>
      </w:r>
      <w:r w:rsidR="001523D1" w:rsidRPr="00DA6F43">
        <w:rPr>
          <w:lang w:eastAsia="en-US"/>
        </w:rPr>
        <w:t xml:space="preserve"> </w:t>
      </w:r>
      <w:r w:rsidRPr="00DA6F43">
        <w:rPr>
          <w:lang w:eastAsia="en-US"/>
        </w:rPr>
        <w:t>млн</w:t>
      </w:r>
      <w:r w:rsidR="001523D1" w:rsidRPr="00DA6F43" w:rsidDel="001523D1">
        <w:rPr>
          <w:lang w:eastAsia="en-US"/>
        </w:rPr>
        <w:t xml:space="preserve"> </w:t>
      </w:r>
      <w:r w:rsidR="001523D1" w:rsidRPr="00DA6F43">
        <w:rPr>
          <w:lang w:eastAsia="en-US"/>
        </w:rPr>
        <w:t xml:space="preserve">грн </w:t>
      </w:r>
      <w:r w:rsidR="001523D1" w:rsidRPr="00DA6F43">
        <w:rPr>
          <w:bCs/>
          <w:lang w:eastAsia="zh-CN"/>
        </w:rPr>
        <w:t xml:space="preserve">за договорами страхування </w:t>
      </w:r>
      <w:r w:rsidR="001523D1" w:rsidRPr="00DA6F43">
        <w:rPr>
          <w:lang w:eastAsia="en-US"/>
        </w:rPr>
        <w:t>іншого, ніж страхування життя</w:t>
      </w:r>
      <w:r w:rsidR="0006031F" w:rsidRPr="00DA6F43">
        <w:rPr>
          <w:lang w:eastAsia="en-US"/>
        </w:rPr>
        <w:t>.</w:t>
      </w:r>
    </w:p>
    <w:p w14:paraId="18E15658" w14:textId="77777777" w:rsidR="0011299D" w:rsidRPr="00DA6F43" w:rsidRDefault="0011299D" w:rsidP="00697AFA">
      <w:pPr>
        <w:widowControl w:val="0"/>
        <w:shd w:val="clear" w:color="auto" w:fill="FFFFFF"/>
        <w:ind w:firstLine="686"/>
        <w:rPr>
          <w:lang w:eastAsia="zh-CN"/>
        </w:rPr>
      </w:pPr>
    </w:p>
    <w:p w14:paraId="17BA2EB6" w14:textId="2576614E" w:rsidR="0011299D" w:rsidRPr="00DA6F43" w:rsidRDefault="0011299D" w:rsidP="00C34681">
      <w:pPr>
        <w:pStyle w:val="1"/>
        <w:rPr>
          <w:rFonts w:cs="Times New Roman"/>
          <w:szCs w:val="28"/>
          <w:lang w:eastAsia="zh-CN"/>
        </w:rPr>
      </w:pPr>
      <w:r w:rsidRPr="00DA6F43">
        <w:rPr>
          <w:rFonts w:cs="Times New Roman"/>
          <w:szCs w:val="28"/>
          <w:lang w:eastAsia="zh-CN"/>
        </w:rPr>
        <w:t>I</w:t>
      </w:r>
      <w:r w:rsidR="00791785" w:rsidRPr="00DA6F43">
        <w:rPr>
          <w:rFonts w:cs="Times New Roman"/>
          <w:szCs w:val="28"/>
          <w:lang w:eastAsia="zh-CN"/>
        </w:rPr>
        <w:t>Х</w:t>
      </w:r>
      <w:r w:rsidRPr="00DA6F43">
        <w:rPr>
          <w:rFonts w:cs="Times New Roman"/>
          <w:szCs w:val="28"/>
          <w:lang w:eastAsia="zh-CN"/>
        </w:rPr>
        <w:t xml:space="preserve">. Визначення заходів, з допомогою яких </w:t>
      </w:r>
      <w:r w:rsidR="002009CF">
        <w:rPr>
          <w:rFonts w:cs="Times New Roman"/>
          <w:szCs w:val="28"/>
          <w:lang w:eastAsia="zh-CN"/>
        </w:rPr>
        <w:t xml:space="preserve">буде </w:t>
      </w:r>
      <w:r w:rsidR="001C7414" w:rsidRPr="001C7414">
        <w:rPr>
          <w:rFonts w:cs="Times New Roman"/>
          <w:szCs w:val="28"/>
          <w:lang w:eastAsia="zh-CN"/>
        </w:rPr>
        <w:t>здійснюватися відстеження результативності акта</w:t>
      </w:r>
    </w:p>
    <w:p w14:paraId="5C9EAD32" w14:textId="6AB2F62F" w:rsidR="0011299D" w:rsidRPr="00DA6F43" w:rsidRDefault="0011299D" w:rsidP="0011299D">
      <w:pPr>
        <w:widowControl w:val="0"/>
        <w:shd w:val="clear" w:color="auto" w:fill="FFFFFF"/>
        <w:tabs>
          <w:tab w:val="left" w:pos="4678"/>
        </w:tabs>
        <w:ind w:firstLine="686"/>
        <w:rPr>
          <w:lang w:eastAsia="zh-CN"/>
        </w:rPr>
      </w:pPr>
      <w:r w:rsidRPr="00DA6F43">
        <w:rPr>
          <w:lang w:eastAsia="zh-CN"/>
        </w:rPr>
        <w:t>Відповідно до статей 3</w:t>
      </w:r>
      <w:r w:rsidR="00744727">
        <w:rPr>
          <w:lang w:eastAsia="zh-CN"/>
        </w:rPr>
        <w:t>,</w:t>
      </w:r>
      <w:r w:rsidRPr="00DA6F43">
        <w:rPr>
          <w:lang w:eastAsia="zh-CN"/>
        </w:rPr>
        <w:t xml:space="preserve"> 10 Закону України “Про засади державної </w:t>
      </w:r>
      <w:r w:rsidRPr="00DA6F43">
        <w:rPr>
          <w:lang w:eastAsia="zh-CN"/>
        </w:rPr>
        <w:lastRenderedPageBreak/>
        <w:t>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банку, затвердженої постановою Кабінету Міністрів України і Національного банку України від 14</w:t>
      </w:r>
      <w:r w:rsidR="007239D3">
        <w:rPr>
          <w:lang w:eastAsia="zh-CN"/>
        </w:rPr>
        <w:t xml:space="preserve"> квітня </w:t>
      </w:r>
      <w:r w:rsidRPr="00DA6F43">
        <w:rPr>
          <w:lang w:eastAsia="zh-CN"/>
        </w:rPr>
        <w:t xml:space="preserve">2004 </w:t>
      </w:r>
      <w:r w:rsidR="007239D3">
        <w:rPr>
          <w:lang w:eastAsia="zh-CN"/>
        </w:rPr>
        <w:t xml:space="preserve">року </w:t>
      </w:r>
      <w:r w:rsidRPr="00DA6F43">
        <w:rPr>
          <w:lang w:eastAsia="zh-CN"/>
        </w:rPr>
        <w:t>№ 471.</w:t>
      </w:r>
    </w:p>
    <w:p w14:paraId="4E673007" w14:textId="6E9B68AD" w:rsidR="0011299D" w:rsidRPr="00DA6F43" w:rsidRDefault="0011299D" w:rsidP="0011299D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Відстеження результативності регуляторного акта проводити</w:t>
      </w:r>
      <w:r w:rsidR="00744727">
        <w:rPr>
          <w:lang w:eastAsia="zh-CN"/>
        </w:rPr>
        <w:t>меть</w:t>
      </w:r>
      <w:r w:rsidRPr="00DA6F43">
        <w:rPr>
          <w:lang w:eastAsia="zh-CN"/>
        </w:rPr>
        <w:t>ся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акта.</w:t>
      </w:r>
    </w:p>
    <w:p w14:paraId="67AA66B7" w14:textId="77777777" w:rsidR="0011299D" w:rsidRPr="00DA6F43" w:rsidRDefault="0011299D" w:rsidP="0011299D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Базове відстеження результативності регуляторного акта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статистичні дані.</w:t>
      </w:r>
    </w:p>
    <w:p w14:paraId="0F336315" w14:textId="1CB008CC" w:rsidR="0011299D" w:rsidRPr="00DA6F43" w:rsidRDefault="0011299D" w:rsidP="0011299D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 xml:space="preserve">Повторне відстеження буде проведено не пізніше двох років </w:t>
      </w:r>
      <w:r w:rsidR="007239D3">
        <w:rPr>
          <w:lang w:eastAsia="zh-CN"/>
        </w:rPr>
        <w:t>і</w:t>
      </w:r>
      <w:r w:rsidRPr="00DA6F43">
        <w:rPr>
          <w:lang w:eastAsia="zh-CN"/>
        </w:rPr>
        <w:t>з дня набрання чинності регуляторним актом.</w:t>
      </w:r>
    </w:p>
    <w:p w14:paraId="416CE5FC" w14:textId="77777777" w:rsidR="0011299D" w:rsidRPr="00DA6F43" w:rsidRDefault="0011299D" w:rsidP="0011299D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Періодичне відстеження результативності – раз на кожні три роки з дня закінчення заходів із повторного відстеження результативності регуляторного акта.</w:t>
      </w:r>
    </w:p>
    <w:p w14:paraId="09BFC7B9" w14:textId="77777777" w:rsidR="0011299D" w:rsidRPr="00DA6F43" w:rsidRDefault="0011299D" w:rsidP="0011299D">
      <w:pPr>
        <w:widowControl w:val="0"/>
        <w:shd w:val="clear" w:color="auto" w:fill="FFFFFF"/>
        <w:ind w:firstLine="686"/>
        <w:rPr>
          <w:lang w:eastAsia="zh-CN"/>
        </w:rPr>
      </w:pPr>
      <w:r w:rsidRPr="00DA6F43">
        <w:rPr>
          <w:lang w:eastAsia="zh-CN"/>
        </w:rP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 Інтернет-представництва Національного банку.</w:t>
      </w:r>
    </w:p>
    <w:p w14:paraId="7A3AB97C" w14:textId="24F0BD36" w:rsidR="00EC083C" w:rsidRPr="00DA6F43" w:rsidRDefault="00EC083C" w:rsidP="00EC083C">
      <w:pPr>
        <w:spacing w:after="120"/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B6152" w:rsidRPr="00DA6F43" w14:paraId="4A7C91E8" w14:textId="77777777" w:rsidTr="00E323BD">
        <w:tc>
          <w:tcPr>
            <w:tcW w:w="5387" w:type="dxa"/>
            <w:vAlign w:val="bottom"/>
          </w:tcPr>
          <w:p w14:paraId="39EAC2AF" w14:textId="77777777" w:rsidR="00EC083C" w:rsidRPr="00DA6F43" w:rsidRDefault="00EC083C" w:rsidP="00E323BD">
            <w:pPr>
              <w:autoSpaceDE w:val="0"/>
              <w:autoSpaceDN w:val="0"/>
              <w:jc w:val="left"/>
            </w:pPr>
            <w:r w:rsidRPr="00DA6F43">
              <w:t>Голова</w:t>
            </w:r>
            <w:r w:rsidR="00FE3DF9" w:rsidRPr="00DA6F43">
              <w:t xml:space="preserve"> Національного банку України</w:t>
            </w:r>
          </w:p>
        </w:tc>
        <w:tc>
          <w:tcPr>
            <w:tcW w:w="4252" w:type="dxa"/>
            <w:vAlign w:val="bottom"/>
          </w:tcPr>
          <w:p w14:paraId="7E3B7821" w14:textId="77777777" w:rsidR="00EC083C" w:rsidRPr="00DA6F43" w:rsidRDefault="00EC083C" w:rsidP="00E323BD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DA6F43">
              <w:t>Андрій ПИШНИЙ</w:t>
            </w:r>
          </w:p>
        </w:tc>
      </w:tr>
    </w:tbl>
    <w:p w14:paraId="27F65E4E" w14:textId="77777777" w:rsidR="0015321C" w:rsidRPr="007227BE" w:rsidRDefault="0015321C" w:rsidP="00094D4C">
      <w:pPr>
        <w:rPr>
          <w:sz w:val="12"/>
        </w:rPr>
      </w:pPr>
    </w:p>
    <w:sectPr w:rsidR="0015321C" w:rsidRPr="007227BE" w:rsidSect="001928B7">
      <w:headerReference w:type="default" r:id="rId12"/>
      <w:pgSz w:w="11906" w:h="16838" w:code="9"/>
      <w:pgMar w:top="567" w:right="567" w:bottom="170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CC6EF" w14:textId="77777777" w:rsidR="00D47150" w:rsidRDefault="00D47150" w:rsidP="00E53CCD">
      <w:r>
        <w:separator/>
      </w:r>
    </w:p>
  </w:endnote>
  <w:endnote w:type="continuationSeparator" w:id="0">
    <w:p w14:paraId="573677EF" w14:textId="77777777" w:rsidR="00D47150" w:rsidRDefault="00D47150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278B1" w14:textId="77777777" w:rsidR="00D47150" w:rsidRDefault="00D47150" w:rsidP="00E53CCD">
      <w:r>
        <w:separator/>
      </w:r>
    </w:p>
  </w:footnote>
  <w:footnote w:type="continuationSeparator" w:id="0">
    <w:p w14:paraId="37729356" w14:textId="77777777" w:rsidR="00D47150" w:rsidRDefault="00D47150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0BD81735" w14:textId="42BE7692" w:rsidR="00213FD1" w:rsidRDefault="00213F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36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BFEFDC7" w14:textId="77777777" w:rsidR="00213FD1" w:rsidRDefault="00213F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E1698"/>
    <w:multiLevelType w:val="hybridMultilevel"/>
    <w:tmpl w:val="DF127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9A24432"/>
    <w:multiLevelType w:val="hybridMultilevel"/>
    <w:tmpl w:val="02EC530C"/>
    <w:lvl w:ilvl="0" w:tplc="B62A1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F55E6"/>
    <w:multiLevelType w:val="hybridMultilevel"/>
    <w:tmpl w:val="6BD0A40C"/>
    <w:lvl w:ilvl="0" w:tplc="0832B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6A3D616E"/>
    <w:multiLevelType w:val="hybridMultilevel"/>
    <w:tmpl w:val="7F8ECD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C4453"/>
    <w:multiLevelType w:val="hybridMultilevel"/>
    <w:tmpl w:val="7F8ECD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1549"/>
    <w:rsid w:val="00001F0F"/>
    <w:rsid w:val="000021C4"/>
    <w:rsid w:val="00002B51"/>
    <w:rsid w:val="00004DF5"/>
    <w:rsid w:val="00004FC7"/>
    <w:rsid w:val="000064FA"/>
    <w:rsid w:val="00006550"/>
    <w:rsid w:val="000066A3"/>
    <w:rsid w:val="00007F27"/>
    <w:rsid w:val="00007FB3"/>
    <w:rsid w:val="00011790"/>
    <w:rsid w:val="00013898"/>
    <w:rsid w:val="00015986"/>
    <w:rsid w:val="00015FDE"/>
    <w:rsid w:val="00021999"/>
    <w:rsid w:val="0002320C"/>
    <w:rsid w:val="00030371"/>
    <w:rsid w:val="00031F9C"/>
    <w:rsid w:val="00032280"/>
    <w:rsid w:val="00032AAF"/>
    <w:rsid w:val="00033451"/>
    <w:rsid w:val="00033AC5"/>
    <w:rsid w:val="00033F80"/>
    <w:rsid w:val="000342A5"/>
    <w:rsid w:val="0003793C"/>
    <w:rsid w:val="000405DA"/>
    <w:rsid w:val="000427C1"/>
    <w:rsid w:val="000427D2"/>
    <w:rsid w:val="00050617"/>
    <w:rsid w:val="000520BA"/>
    <w:rsid w:val="000543C6"/>
    <w:rsid w:val="00055E2F"/>
    <w:rsid w:val="000573D3"/>
    <w:rsid w:val="0006031F"/>
    <w:rsid w:val="000605A5"/>
    <w:rsid w:val="0006120C"/>
    <w:rsid w:val="00062099"/>
    <w:rsid w:val="00063480"/>
    <w:rsid w:val="00072B68"/>
    <w:rsid w:val="0007578C"/>
    <w:rsid w:val="000805BF"/>
    <w:rsid w:val="00080D94"/>
    <w:rsid w:val="00081158"/>
    <w:rsid w:val="00085BC1"/>
    <w:rsid w:val="00087759"/>
    <w:rsid w:val="000908E3"/>
    <w:rsid w:val="00090D16"/>
    <w:rsid w:val="00090F6A"/>
    <w:rsid w:val="00091B39"/>
    <w:rsid w:val="00092D79"/>
    <w:rsid w:val="00094D4C"/>
    <w:rsid w:val="000950E3"/>
    <w:rsid w:val="000A1E38"/>
    <w:rsid w:val="000A21C2"/>
    <w:rsid w:val="000A2CD2"/>
    <w:rsid w:val="000A3FFE"/>
    <w:rsid w:val="000A459C"/>
    <w:rsid w:val="000A4677"/>
    <w:rsid w:val="000A514B"/>
    <w:rsid w:val="000A6D6B"/>
    <w:rsid w:val="000A7D6F"/>
    <w:rsid w:val="000B0C08"/>
    <w:rsid w:val="000B0D99"/>
    <w:rsid w:val="000B0E92"/>
    <w:rsid w:val="000B2990"/>
    <w:rsid w:val="000B51B6"/>
    <w:rsid w:val="000B6A20"/>
    <w:rsid w:val="000B6C39"/>
    <w:rsid w:val="000B760D"/>
    <w:rsid w:val="000C0059"/>
    <w:rsid w:val="000C06AF"/>
    <w:rsid w:val="000C242C"/>
    <w:rsid w:val="000C3B86"/>
    <w:rsid w:val="000C6E31"/>
    <w:rsid w:val="000D17D0"/>
    <w:rsid w:val="000D2D23"/>
    <w:rsid w:val="000D3216"/>
    <w:rsid w:val="000D738C"/>
    <w:rsid w:val="000E241B"/>
    <w:rsid w:val="000E3637"/>
    <w:rsid w:val="000E4B45"/>
    <w:rsid w:val="000E6170"/>
    <w:rsid w:val="000E7E3C"/>
    <w:rsid w:val="000F10E3"/>
    <w:rsid w:val="000F1B82"/>
    <w:rsid w:val="000F5F8E"/>
    <w:rsid w:val="000F6E29"/>
    <w:rsid w:val="00105CA4"/>
    <w:rsid w:val="0011226F"/>
    <w:rsid w:val="0011299D"/>
    <w:rsid w:val="001162AC"/>
    <w:rsid w:val="001213AB"/>
    <w:rsid w:val="0012217A"/>
    <w:rsid w:val="00122CD1"/>
    <w:rsid w:val="00123056"/>
    <w:rsid w:val="00125891"/>
    <w:rsid w:val="00126636"/>
    <w:rsid w:val="00126D98"/>
    <w:rsid w:val="00130877"/>
    <w:rsid w:val="001308D5"/>
    <w:rsid w:val="00132796"/>
    <w:rsid w:val="001361F9"/>
    <w:rsid w:val="001363B7"/>
    <w:rsid w:val="00136D5B"/>
    <w:rsid w:val="00143312"/>
    <w:rsid w:val="00144ACF"/>
    <w:rsid w:val="00147E47"/>
    <w:rsid w:val="001523D1"/>
    <w:rsid w:val="001523DE"/>
    <w:rsid w:val="0015321C"/>
    <w:rsid w:val="00153455"/>
    <w:rsid w:val="00155D9D"/>
    <w:rsid w:val="00157FA6"/>
    <w:rsid w:val="0016027A"/>
    <w:rsid w:val="001617E5"/>
    <w:rsid w:val="00161B3C"/>
    <w:rsid w:val="00166FE7"/>
    <w:rsid w:val="00167B7F"/>
    <w:rsid w:val="00171673"/>
    <w:rsid w:val="00172829"/>
    <w:rsid w:val="001729D6"/>
    <w:rsid w:val="001740C0"/>
    <w:rsid w:val="001744AA"/>
    <w:rsid w:val="001803A3"/>
    <w:rsid w:val="001859F4"/>
    <w:rsid w:val="00187989"/>
    <w:rsid w:val="001879FA"/>
    <w:rsid w:val="00190268"/>
    <w:rsid w:val="00190E1A"/>
    <w:rsid w:val="00191348"/>
    <w:rsid w:val="001928B7"/>
    <w:rsid w:val="001930AA"/>
    <w:rsid w:val="00193723"/>
    <w:rsid w:val="00194E01"/>
    <w:rsid w:val="001962D0"/>
    <w:rsid w:val="00197A75"/>
    <w:rsid w:val="001A16FA"/>
    <w:rsid w:val="001A3C01"/>
    <w:rsid w:val="001A3D6D"/>
    <w:rsid w:val="001A52EC"/>
    <w:rsid w:val="001B072B"/>
    <w:rsid w:val="001B159B"/>
    <w:rsid w:val="001B2CCB"/>
    <w:rsid w:val="001C0556"/>
    <w:rsid w:val="001C106F"/>
    <w:rsid w:val="001C738F"/>
    <w:rsid w:val="001C7414"/>
    <w:rsid w:val="001C7B8B"/>
    <w:rsid w:val="001D0338"/>
    <w:rsid w:val="001D052C"/>
    <w:rsid w:val="001D1E46"/>
    <w:rsid w:val="001D487A"/>
    <w:rsid w:val="001E1403"/>
    <w:rsid w:val="001E552A"/>
    <w:rsid w:val="001E65A8"/>
    <w:rsid w:val="001F2FFA"/>
    <w:rsid w:val="001F4501"/>
    <w:rsid w:val="001F4B4B"/>
    <w:rsid w:val="001F5F44"/>
    <w:rsid w:val="001F7BE1"/>
    <w:rsid w:val="002009CF"/>
    <w:rsid w:val="00201079"/>
    <w:rsid w:val="002023F4"/>
    <w:rsid w:val="00203F91"/>
    <w:rsid w:val="002053DF"/>
    <w:rsid w:val="002076A5"/>
    <w:rsid w:val="00207EC3"/>
    <w:rsid w:val="00211306"/>
    <w:rsid w:val="00212959"/>
    <w:rsid w:val="00213DAC"/>
    <w:rsid w:val="00213FD1"/>
    <w:rsid w:val="0021477C"/>
    <w:rsid w:val="0022418A"/>
    <w:rsid w:val="002242A6"/>
    <w:rsid w:val="0022490D"/>
    <w:rsid w:val="00231521"/>
    <w:rsid w:val="00235696"/>
    <w:rsid w:val="002367AB"/>
    <w:rsid w:val="002367B5"/>
    <w:rsid w:val="00241373"/>
    <w:rsid w:val="00247BC2"/>
    <w:rsid w:val="0025164E"/>
    <w:rsid w:val="002519C3"/>
    <w:rsid w:val="00252E45"/>
    <w:rsid w:val="00253BF9"/>
    <w:rsid w:val="00253CB3"/>
    <w:rsid w:val="002566B7"/>
    <w:rsid w:val="00257041"/>
    <w:rsid w:val="00261C51"/>
    <w:rsid w:val="00262A77"/>
    <w:rsid w:val="00262EF8"/>
    <w:rsid w:val="00264983"/>
    <w:rsid w:val="0026588B"/>
    <w:rsid w:val="00265F33"/>
    <w:rsid w:val="0026607F"/>
    <w:rsid w:val="00266678"/>
    <w:rsid w:val="00266E6B"/>
    <w:rsid w:val="00267A5C"/>
    <w:rsid w:val="00267B32"/>
    <w:rsid w:val="00270011"/>
    <w:rsid w:val="00270B4E"/>
    <w:rsid w:val="00271FCC"/>
    <w:rsid w:val="00273765"/>
    <w:rsid w:val="00276496"/>
    <w:rsid w:val="0028100C"/>
    <w:rsid w:val="002826C5"/>
    <w:rsid w:val="002854FB"/>
    <w:rsid w:val="002864C5"/>
    <w:rsid w:val="002873D3"/>
    <w:rsid w:val="00287B5E"/>
    <w:rsid w:val="0029153D"/>
    <w:rsid w:val="00291584"/>
    <w:rsid w:val="00291D9A"/>
    <w:rsid w:val="002950E5"/>
    <w:rsid w:val="00295605"/>
    <w:rsid w:val="00296EF4"/>
    <w:rsid w:val="002A05A7"/>
    <w:rsid w:val="002A0CFF"/>
    <w:rsid w:val="002A183D"/>
    <w:rsid w:val="002A600E"/>
    <w:rsid w:val="002A6DFB"/>
    <w:rsid w:val="002A7BCA"/>
    <w:rsid w:val="002B2840"/>
    <w:rsid w:val="002B636E"/>
    <w:rsid w:val="002C358E"/>
    <w:rsid w:val="002C363E"/>
    <w:rsid w:val="002C3EED"/>
    <w:rsid w:val="002C3F9F"/>
    <w:rsid w:val="002D1790"/>
    <w:rsid w:val="002D5293"/>
    <w:rsid w:val="002D7544"/>
    <w:rsid w:val="002D775B"/>
    <w:rsid w:val="002E052F"/>
    <w:rsid w:val="002E0975"/>
    <w:rsid w:val="002E37BD"/>
    <w:rsid w:val="002F1229"/>
    <w:rsid w:val="00300107"/>
    <w:rsid w:val="003074D3"/>
    <w:rsid w:val="00307B4F"/>
    <w:rsid w:val="003103B8"/>
    <w:rsid w:val="003105A0"/>
    <w:rsid w:val="00314FD6"/>
    <w:rsid w:val="003207FB"/>
    <w:rsid w:val="0032191A"/>
    <w:rsid w:val="003260A0"/>
    <w:rsid w:val="00326161"/>
    <w:rsid w:val="00330575"/>
    <w:rsid w:val="00332B55"/>
    <w:rsid w:val="00332CCD"/>
    <w:rsid w:val="00332E8C"/>
    <w:rsid w:val="00335668"/>
    <w:rsid w:val="00346C90"/>
    <w:rsid w:val="00347D6F"/>
    <w:rsid w:val="003562A2"/>
    <w:rsid w:val="00356E34"/>
    <w:rsid w:val="00357676"/>
    <w:rsid w:val="00360365"/>
    <w:rsid w:val="00361C2C"/>
    <w:rsid w:val="00362F5D"/>
    <w:rsid w:val="003631BF"/>
    <w:rsid w:val="00370B27"/>
    <w:rsid w:val="00371D36"/>
    <w:rsid w:val="00372FC4"/>
    <w:rsid w:val="00373D3E"/>
    <w:rsid w:val="00380D15"/>
    <w:rsid w:val="0038385E"/>
    <w:rsid w:val="00383C19"/>
    <w:rsid w:val="0038498C"/>
    <w:rsid w:val="0038656D"/>
    <w:rsid w:val="00386BB9"/>
    <w:rsid w:val="00392A04"/>
    <w:rsid w:val="00393357"/>
    <w:rsid w:val="00393EED"/>
    <w:rsid w:val="0039725C"/>
    <w:rsid w:val="003A2EA4"/>
    <w:rsid w:val="003A5C6C"/>
    <w:rsid w:val="003A751F"/>
    <w:rsid w:val="003C08BB"/>
    <w:rsid w:val="003C2BE4"/>
    <w:rsid w:val="003C3282"/>
    <w:rsid w:val="003C35A1"/>
    <w:rsid w:val="003C3985"/>
    <w:rsid w:val="003C7903"/>
    <w:rsid w:val="003D24A2"/>
    <w:rsid w:val="003E4367"/>
    <w:rsid w:val="003E73DD"/>
    <w:rsid w:val="003E7FC3"/>
    <w:rsid w:val="003F1CC3"/>
    <w:rsid w:val="003F23C3"/>
    <w:rsid w:val="003F34C0"/>
    <w:rsid w:val="003F76E1"/>
    <w:rsid w:val="00401900"/>
    <w:rsid w:val="00401EDB"/>
    <w:rsid w:val="00404C93"/>
    <w:rsid w:val="00404E9F"/>
    <w:rsid w:val="004071AE"/>
    <w:rsid w:val="00407877"/>
    <w:rsid w:val="0041246B"/>
    <w:rsid w:val="00427214"/>
    <w:rsid w:val="0042763D"/>
    <w:rsid w:val="00431CB6"/>
    <w:rsid w:val="004379AA"/>
    <w:rsid w:val="00437B13"/>
    <w:rsid w:val="004430C3"/>
    <w:rsid w:val="00443889"/>
    <w:rsid w:val="00445297"/>
    <w:rsid w:val="00450A28"/>
    <w:rsid w:val="004541DA"/>
    <w:rsid w:val="00455B45"/>
    <w:rsid w:val="00456FF5"/>
    <w:rsid w:val="00461F45"/>
    <w:rsid w:val="004631C8"/>
    <w:rsid w:val="00465490"/>
    <w:rsid w:val="00465861"/>
    <w:rsid w:val="00467C04"/>
    <w:rsid w:val="00470243"/>
    <w:rsid w:val="004707F3"/>
    <w:rsid w:val="0047121C"/>
    <w:rsid w:val="004714D0"/>
    <w:rsid w:val="00473763"/>
    <w:rsid w:val="00474644"/>
    <w:rsid w:val="004746AA"/>
    <w:rsid w:val="00475829"/>
    <w:rsid w:val="00481805"/>
    <w:rsid w:val="00485E94"/>
    <w:rsid w:val="00490937"/>
    <w:rsid w:val="004948B8"/>
    <w:rsid w:val="00495CC6"/>
    <w:rsid w:val="004969B2"/>
    <w:rsid w:val="0049787B"/>
    <w:rsid w:val="004A0694"/>
    <w:rsid w:val="004A1A93"/>
    <w:rsid w:val="004A23F5"/>
    <w:rsid w:val="004A3D8F"/>
    <w:rsid w:val="004A62FE"/>
    <w:rsid w:val="004A7F75"/>
    <w:rsid w:val="004B16F2"/>
    <w:rsid w:val="004B1FE9"/>
    <w:rsid w:val="004B3013"/>
    <w:rsid w:val="004B3293"/>
    <w:rsid w:val="004B3FF4"/>
    <w:rsid w:val="004B5E31"/>
    <w:rsid w:val="004B6152"/>
    <w:rsid w:val="004C08AF"/>
    <w:rsid w:val="004C0D46"/>
    <w:rsid w:val="004C1194"/>
    <w:rsid w:val="004C37D1"/>
    <w:rsid w:val="004C7EE6"/>
    <w:rsid w:val="004D1212"/>
    <w:rsid w:val="004D170B"/>
    <w:rsid w:val="004D283A"/>
    <w:rsid w:val="004D2E1D"/>
    <w:rsid w:val="004D46B6"/>
    <w:rsid w:val="004D675B"/>
    <w:rsid w:val="004D68EA"/>
    <w:rsid w:val="004D6A7F"/>
    <w:rsid w:val="004D6CBC"/>
    <w:rsid w:val="004E1C7D"/>
    <w:rsid w:val="004E1DF9"/>
    <w:rsid w:val="004E22E2"/>
    <w:rsid w:val="004E2AC9"/>
    <w:rsid w:val="004E304E"/>
    <w:rsid w:val="004E53AF"/>
    <w:rsid w:val="004E5BCA"/>
    <w:rsid w:val="004F40D3"/>
    <w:rsid w:val="005003E5"/>
    <w:rsid w:val="00504996"/>
    <w:rsid w:val="00506336"/>
    <w:rsid w:val="005067FD"/>
    <w:rsid w:val="00506B4B"/>
    <w:rsid w:val="00511D0B"/>
    <w:rsid w:val="00512761"/>
    <w:rsid w:val="0051285D"/>
    <w:rsid w:val="00513471"/>
    <w:rsid w:val="00514F6C"/>
    <w:rsid w:val="00516BF4"/>
    <w:rsid w:val="00523287"/>
    <w:rsid w:val="00523816"/>
    <w:rsid w:val="00523AB9"/>
    <w:rsid w:val="00523C13"/>
    <w:rsid w:val="005257C2"/>
    <w:rsid w:val="00525AAC"/>
    <w:rsid w:val="0052600B"/>
    <w:rsid w:val="00526521"/>
    <w:rsid w:val="005271AB"/>
    <w:rsid w:val="005300BA"/>
    <w:rsid w:val="00530EC4"/>
    <w:rsid w:val="00531DD6"/>
    <w:rsid w:val="00537158"/>
    <w:rsid w:val="00537257"/>
    <w:rsid w:val="00541601"/>
    <w:rsid w:val="005420B0"/>
    <w:rsid w:val="00542533"/>
    <w:rsid w:val="00543354"/>
    <w:rsid w:val="0054367A"/>
    <w:rsid w:val="00543710"/>
    <w:rsid w:val="00547FC6"/>
    <w:rsid w:val="00551E50"/>
    <w:rsid w:val="00552842"/>
    <w:rsid w:val="00553C3B"/>
    <w:rsid w:val="005575F0"/>
    <w:rsid w:val="005624B6"/>
    <w:rsid w:val="0057237F"/>
    <w:rsid w:val="00572433"/>
    <w:rsid w:val="00572C8D"/>
    <w:rsid w:val="00572CC6"/>
    <w:rsid w:val="005755EF"/>
    <w:rsid w:val="00577402"/>
    <w:rsid w:val="0058059E"/>
    <w:rsid w:val="00581A44"/>
    <w:rsid w:val="00583CC7"/>
    <w:rsid w:val="005848FF"/>
    <w:rsid w:val="00584980"/>
    <w:rsid w:val="00585D3D"/>
    <w:rsid w:val="00585E53"/>
    <w:rsid w:val="00587465"/>
    <w:rsid w:val="00594175"/>
    <w:rsid w:val="00594BEA"/>
    <w:rsid w:val="005965FF"/>
    <w:rsid w:val="005A0F4B"/>
    <w:rsid w:val="005A1D3C"/>
    <w:rsid w:val="005A2996"/>
    <w:rsid w:val="005A3F0D"/>
    <w:rsid w:val="005A3F34"/>
    <w:rsid w:val="005A412F"/>
    <w:rsid w:val="005A55F3"/>
    <w:rsid w:val="005A6293"/>
    <w:rsid w:val="005B2895"/>
    <w:rsid w:val="005B2D03"/>
    <w:rsid w:val="005B3E9A"/>
    <w:rsid w:val="005B43F2"/>
    <w:rsid w:val="005B64E5"/>
    <w:rsid w:val="005B6D54"/>
    <w:rsid w:val="005B7C23"/>
    <w:rsid w:val="005C1CD4"/>
    <w:rsid w:val="005C5CBF"/>
    <w:rsid w:val="005C659A"/>
    <w:rsid w:val="005D2C4D"/>
    <w:rsid w:val="005D3397"/>
    <w:rsid w:val="005D3574"/>
    <w:rsid w:val="005D4B4E"/>
    <w:rsid w:val="005D4E21"/>
    <w:rsid w:val="005D5DBC"/>
    <w:rsid w:val="005D7555"/>
    <w:rsid w:val="005E1D71"/>
    <w:rsid w:val="005E2325"/>
    <w:rsid w:val="005E3FA8"/>
    <w:rsid w:val="005E701A"/>
    <w:rsid w:val="005F015F"/>
    <w:rsid w:val="005F0FCC"/>
    <w:rsid w:val="005F3B05"/>
    <w:rsid w:val="005F4CCC"/>
    <w:rsid w:val="005F73FC"/>
    <w:rsid w:val="005F766F"/>
    <w:rsid w:val="005F7C14"/>
    <w:rsid w:val="006008EF"/>
    <w:rsid w:val="00601D46"/>
    <w:rsid w:val="00604999"/>
    <w:rsid w:val="0060676E"/>
    <w:rsid w:val="006107CD"/>
    <w:rsid w:val="006163B7"/>
    <w:rsid w:val="00617CFA"/>
    <w:rsid w:val="00621361"/>
    <w:rsid w:val="00624954"/>
    <w:rsid w:val="00625A58"/>
    <w:rsid w:val="0062657E"/>
    <w:rsid w:val="00633363"/>
    <w:rsid w:val="00634A19"/>
    <w:rsid w:val="00635332"/>
    <w:rsid w:val="00640612"/>
    <w:rsid w:val="0064068D"/>
    <w:rsid w:val="00641038"/>
    <w:rsid w:val="00642078"/>
    <w:rsid w:val="0064227D"/>
    <w:rsid w:val="0064385A"/>
    <w:rsid w:val="00644E15"/>
    <w:rsid w:val="00646B04"/>
    <w:rsid w:val="00647934"/>
    <w:rsid w:val="00647F23"/>
    <w:rsid w:val="006530E2"/>
    <w:rsid w:val="00653658"/>
    <w:rsid w:val="0065453F"/>
    <w:rsid w:val="00655F4A"/>
    <w:rsid w:val="00655FE9"/>
    <w:rsid w:val="0065653D"/>
    <w:rsid w:val="00656E13"/>
    <w:rsid w:val="00663058"/>
    <w:rsid w:val="00665379"/>
    <w:rsid w:val="00665C35"/>
    <w:rsid w:val="00666367"/>
    <w:rsid w:val="00670C95"/>
    <w:rsid w:val="00670F34"/>
    <w:rsid w:val="00671A37"/>
    <w:rsid w:val="0067231C"/>
    <w:rsid w:val="00675421"/>
    <w:rsid w:val="00677413"/>
    <w:rsid w:val="006821E5"/>
    <w:rsid w:val="00684D7F"/>
    <w:rsid w:val="006870D2"/>
    <w:rsid w:val="006925CE"/>
    <w:rsid w:val="0069375D"/>
    <w:rsid w:val="0069589A"/>
    <w:rsid w:val="00697AFA"/>
    <w:rsid w:val="006A018E"/>
    <w:rsid w:val="006A51ED"/>
    <w:rsid w:val="006A5E5C"/>
    <w:rsid w:val="006A766D"/>
    <w:rsid w:val="006B0660"/>
    <w:rsid w:val="006B0B13"/>
    <w:rsid w:val="006B2748"/>
    <w:rsid w:val="006B33F2"/>
    <w:rsid w:val="006B3C1C"/>
    <w:rsid w:val="006B4D7D"/>
    <w:rsid w:val="006B5918"/>
    <w:rsid w:val="006B62EB"/>
    <w:rsid w:val="006B63B5"/>
    <w:rsid w:val="006C2CD8"/>
    <w:rsid w:val="006C4176"/>
    <w:rsid w:val="006C4627"/>
    <w:rsid w:val="006C66EF"/>
    <w:rsid w:val="006D2617"/>
    <w:rsid w:val="006D2711"/>
    <w:rsid w:val="006E1702"/>
    <w:rsid w:val="006E35D3"/>
    <w:rsid w:val="006E4E04"/>
    <w:rsid w:val="006E5C24"/>
    <w:rsid w:val="006E606F"/>
    <w:rsid w:val="006E7613"/>
    <w:rsid w:val="006E7C00"/>
    <w:rsid w:val="006F35A9"/>
    <w:rsid w:val="006F6512"/>
    <w:rsid w:val="006F701C"/>
    <w:rsid w:val="006F72DB"/>
    <w:rsid w:val="006F77A6"/>
    <w:rsid w:val="0070081A"/>
    <w:rsid w:val="007056AF"/>
    <w:rsid w:val="00705ED8"/>
    <w:rsid w:val="0070663E"/>
    <w:rsid w:val="00712A10"/>
    <w:rsid w:val="00713BA9"/>
    <w:rsid w:val="00714290"/>
    <w:rsid w:val="00715400"/>
    <w:rsid w:val="007155DF"/>
    <w:rsid w:val="00715770"/>
    <w:rsid w:val="0071789F"/>
    <w:rsid w:val="00720B1E"/>
    <w:rsid w:val="007227BE"/>
    <w:rsid w:val="00722A8F"/>
    <w:rsid w:val="007233FC"/>
    <w:rsid w:val="007239D3"/>
    <w:rsid w:val="0072468A"/>
    <w:rsid w:val="007248FF"/>
    <w:rsid w:val="00731146"/>
    <w:rsid w:val="00731E40"/>
    <w:rsid w:val="007326ED"/>
    <w:rsid w:val="00732AFE"/>
    <w:rsid w:val="00733838"/>
    <w:rsid w:val="0073671B"/>
    <w:rsid w:val="007369A7"/>
    <w:rsid w:val="00736F19"/>
    <w:rsid w:val="0074256B"/>
    <w:rsid w:val="007446D5"/>
    <w:rsid w:val="00744727"/>
    <w:rsid w:val="007460CF"/>
    <w:rsid w:val="00752CD9"/>
    <w:rsid w:val="00755814"/>
    <w:rsid w:val="00755954"/>
    <w:rsid w:val="007576F6"/>
    <w:rsid w:val="0076038B"/>
    <w:rsid w:val="00760E26"/>
    <w:rsid w:val="00764ABA"/>
    <w:rsid w:val="00767B9D"/>
    <w:rsid w:val="00775409"/>
    <w:rsid w:val="0077561B"/>
    <w:rsid w:val="007764A7"/>
    <w:rsid w:val="00777070"/>
    <w:rsid w:val="007771C9"/>
    <w:rsid w:val="0078127A"/>
    <w:rsid w:val="00782608"/>
    <w:rsid w:val="00783A6A"/>
    <w:rsid w:val="00783AF2"/>
    <w:rsid w:val="0078475F"/>
    <w:rsid w:val="0078592C"/>
    <w:rsid w:val="00785CAC"/>
    <w:rsid w:val="007872B3"/>
    <w:rsid w:val="00790EA9"/>
    <w:rsid w:val="00791785"/>
    <w:rsid w:val="00793DA6"/>
    <w:rsid w:val="00794AD7"/>
    <w:rsid w:val="007964FB"/>
    <w:rsid w:val="00797DC7"/>
    <w:rsid w:val="007A2F40"/>
    <w:rsid w:val="007A5034"/>
    <w:rsid w:val="007A5263"/>
    <w:rsid w:val="007A6609"/>
    <w:rsid w:val="007A7C38"/>
    <w:rsid w:val="007B0256"/>
    <w:rsid w:val="007B3469"/>
    <w:rsid w:val="007B49E8"/>
    <w:rsid w:val="007B4F57"/>
    <w:rsid w:val="007B6B6B"/>
    <w:rsid w:val="007C1033"/>
    <w:rsid w:val="007C27D9"/>
    <w:rsid w:val="007C2AAA"/>
    <w:rsid w:val="007C2CED"/>
    <w:rsid w:val="007C3980"/>
    <w:rsid w:val="007C42A4"/>
    <w:rsid w:val="007D3575"/>
    <w:rsid w:val="007D3817"/>
    <w:rsid w:val="007D4F83"/>
    <w:rsid w:val="007D5183"/>
    <w:rsid w:val="007D633B"/>
    <w:rsid w:val="007D729B"/>
    <w:rsid w:val="007D73E4"/>
    <w:rsid w:val="007D7E7A"/>
    <w:rsid w:val="007E0828"/>
    <w:rsid w:val="007E1CBD"/>
    <w:rsid w:val="007E382A"/>
    <w:rsid w:val="007E3AB0"/>
    <w:rsid w:val="007E54EC"/>
    <w:rsid w:val="007E589C"/>
    <w:rsid w:val="007E6789"/>
    <w:rsid w:val="007F140C"/>
    <w:rsid w:val="007F3B14"/>
    <w:rsid w:val="007F54B6"/>
    <w:rsid w:val="007F5585"/>
    <w:rsid w:val="007F5FE5"/>
    <w:rsid w:val="007F614A"/>
    <w:rsid w:val="007F6382"/>
    <w:rsid w:val="00800CCF"/>
    <w:rsid w:val="00802956"/>
    <w:rsid w:val="00802988"/>
    <w:rsid w:val="00803A50"/>
    <w:rsid w:val="00804A77"/>
    <w:rsid w:val="008062EA"/>
    <w:rsid w:val="00807BDE"/>
    <w:rsid w:val="0081078C"/>
    <w:rsid w:val="00811D8E"/>
    <w:rsid w:val="008160BB"/>
    <w:rsid w:val="008203E7"/>
    <w:rsid w:val="0082422F"/>
    <w:rsid w:val="0082621C"/>
    <w:rsid w:val="00826D6A"/>
    <w:rsid w:val="00827868"/>
    <w:rsid w:val="0083096E"/>
    <w:rsid w:val="0083365E"/>
    <w:rsid w:val="008340BD"/>
    <w:rsid w:val="00834E7A"/>
    <w:rsid w:val="008352B8"/>
    <w:rsid w:val="0083536C"/>
    <w:rsid w:val="0083584A"/>
    <w:rsid w:val="0083636D"/>
    <w:rsid w:val="00836464"/>
    <w:rsid w:val="008437DA"/>
    <w:rsid w:val="00844D3D"/>
    <w:rsid w:val="008469F0"/>
    <w:rsid w:val="008473BA"/>
    <w:rsid w:val="00847596"/>
    <w:rsid w:val="00851BD8"/>
    <w:rsid w:val="0085415A"/>
    <w:rsid w:val="00854DF8"/>
    <w:rsid w:val="008560AC"/>
    <w:rsid w:val="00860E40"/>
    <w:rsid w:val="008613AB"/>
    <w:rsid w:val="00864477"/>
    <w:rsid w:val="00864B67"/>
    <w:rsid w:val="00864E00"/>
    <w:rsid w:val="00865FE2"/>
    <w:rsid w:val="00866993"/>
    <w:rsid w:val="00871342"/>
    <w:rsid w:val="00872965"/>
    <w:rsid w:val="0087432B"/>
    <w:rsid w:val="00874366"/>
    <w:rsid w:val="008752BE"/>
    <w:rsid w:val="008762D8"/>
    <w:rsid w:val="00880C0D"/>
    <w:rsid w:val="00883194"/>
    <w:rsid w:val="00883AC1"/>
    <w:rsid w:val="00885520"/>
    <w:rsid w:val="0088735B"/>
    <w:rsid w:val="008903D1"/>
    <w:rsid w:val="0089055B"/>
    <w:rsid w:val="00891FC0"/>
    <w:rsid w:val="008931B7"/>
    <w:rsid w:val="00894219"/>
    <w:rsid w:val="008945F1"/>
    <w:rsid w:val="008960AC"/>
    <w:rsid w:val="00896DDB"/>
    <w:rsid w:val="00897051"/>
    <w:rsid w:val="008A0327"/>
    <w:rsid w:val="008A140C"/>
    <w:rsid w:val="008A190D"/>
    <w:rsid w:val="008A1938"/>
    <w:rsid w:val="008A34BB"/>
    <w:rsid w:val="008B1303"/>
    <w:rsid w:val="008B492C"/>
    <w:rsid w:val="008B6633"/>
    <w:rsid w:val="008C0A66"/>
    <w:rsid w:val="008C78ED"/>
    <w:rsid w:val="008D10FD"/>
    <w:rsid w:val="008D122F"/>
    <w:rsid w:val="008D16BD"/>
    <w:rsid w:val="008D175C"/>
    <w:rsid w:val="008D6CD0"/>
    <w:rsid w:val="008E4DA4"/>
    <w:rsid w:val="008E72C1"/>
    <w:rsid w:val="008F0210"/>
    <w:rsid w:val="008F1868"/>
    <w:rsid w:val="008F3912"/>
    <w:rsid w:val="008F5D52"/>
    <w:rsid w:val="008F68D9"/>
    <w:rsid w:val="00900F4F"/>
    <w:rsid w:val="00901356"/>
    <w:rsid w:val="00901B08"/>
    <w:rsid w:val="00904F17"/>
    <w:rsid w:val="0090606F"/>
    <w:rsid w:val="00906ED1"/>
    <w:rsid w:val="009105ED"/>
    <w:rsid w:val="009169FA"/>
    <w:rsid w:val="0092197F"/>
    <w:rsid w:val="00922966"/>
    <w:rsid w:val="00924EEF"/>
    <w:rsid w:val="00930D6F"/>
    <w:rsid w:val="00931618"/>
    <w:rsid w:val="0093346E"/>
    <w:rsid w:val="009335EA"/>
    <w:rsid w:val="00933FA1"/>
    <w:rsid w:val="009354B4"/>
    <w:rsid w:val="00937AE3"/>
    <w:rsid w:val="009401D4"/>
    <w:rsid w:val="00941904"/>
    <w:rsid w:val="00943175"/>
    <w:rsid w:val="00947ECD"/>
    <w:rsid w:val="00951171"/>
    <w:rsid w:val="00953ED6"/>
    <w:rsid w:val="00954969"/>
    <w:rsid w:val="009618C9"/>
    <w:rsid w:val="00961E0F"/>
    <w:rsid w:val="00962333"/>
    <w:rsid w:val="00964C8D"/>
    <w:rsid w:val="009671E7"/>
    <w:rsid w:val="009707FE"/>
    <w:rsid w:val="00971699"/>
    <w:rsid w:val="0097288F"/>
    <w:rsid w:val="00975782"/>
    <w:rsid w:val="0097792F"/>
    <w:rsid w:val="00980332"/>
    <w:rsid w:val="0098207E"/>
    <w:rsid w:val="0098211E"/>
    <w:rsid w:val="00990A7B"/>
    <w:rsid w:val="00993952"/>
    <w:rsid w:val="00994851"/>
    <w:rsid w:val="00995E11"/>
    <w:rsid w:val="009A070C"/>
    <w:rsid w:val="009A1CFF"/>
    <w:rsid w:val="009A222B"/>
    <w:rsid w:val="009A5936"/>
    <w:rsid w:val="009A5BFD"/>
    <w:rsid w:val="009B2C07"/>
    <w:rsid w:val="009B6120"/>
    <w:rsid w:val="009C1032"/>
    <w:rsid w:val="009C2F76"/>
    <w:rsid w:val="009D3CC3"/>
    <w:rsid w:val="009D531C"/>
    <w:rsid w:val="009D6050"/>
    <w:rsid w:val="009D76C5"/>
    <w:rsid w:val="009E13EB"/>
    <w:rsid w:val="009E5CA6"/>
    <w:rsid w:val="009E6EA6"/>
    <w:rsid w:val="009E72C1"/>
    <w:rsid w:val="009F0010"/>
    <w:rsid w:val="009F242A"/>
    <w:rsid w:val="009F2C2E"/>
    <w:rsid w:val="009F3962"/>
    <w:rsid w:val="009F43A9"/>
    <w:rsid w:val="009F4D34"/>
    <w:rsid w:val="009F5312"/>
    <w:rsid w:val="009F68D7"/>
    <w:rsid w:val="00A0594A"/>
    <w:rsid w:val="00A074A5"/>
    <w:rsid w:val="00A122B3"/>
    <w:rsid w:val="00A12C47"/>
    <w:rsid w:val="00A1523E"/>
    <w:rsid w:val="00A15D55"/>
    <w:rsid w:val="00A16B03"/>
    <w:rsid w:val="00A16E83"/>
    <w:rsid w:val="00A21944"/>
    <w:rsid w:val="00A2398B"/>
    <w:rsid w:val="00A23E04"/>
    <w:rsid w:val="00A25A1A"/>
    <w:rsid w:val="00A25DDC"/>
    <w:rsid w:val="00A30829"/>
    <w:rsid w:val="00A313E8"/>
    <w:rsid w:val="00A34F57"/>
    <w:rsid w:val="00A40855"/>
    <w:rsid w:val="00A41387"/>
    <w:rsid w:val="00A41D4B"/>
    <w:rsid w:val="00A41F28"/>
    <w:rsid w:val="00A457E7"/>
    <w:rsid w:val="00A50DC0"/>
    <w:rsid w:val="00A519E4"/>
    <w:rsid w:val="00A51DC5"/>
    <w:rsid w:val="00A56E8D"/>
    <w:rsid w:val="00A631CF"/>
    <w:rsid w:val="00A643A4"/>
    <w:rsid w:val="00A64578"/>
    <w:rsid w:val="00A65845"/>
    <w:rsid w:val="00A660E5"/>
    <w:rsid w:val="00A67C30"/>
    <w:rsid w:val="00A7010D"/>
    <w:rsid w:val="00A7057D"/>
    <w:rsid w:val="00A717FE"/>
    <w:rsid w:val="00A72F06"/>
    <w:rsid w:val="00A730F2"/>
    <w:rsid w:val="00A7468D"/>
    <w:rsid w:val="00A7599A"/>
    <w:rsid w:val="00A77A7C"/>
    <w:rsid w:val="00A77FFD"/>
    <w:rsid w:val="00A84C90"/>
    <w:rsid w:val="00A87913"/>
    <w:rsid w:val="00A904F2"/>
    <w:rsid w:val="00A91B3F"/>
    <w:rsid w:val="00A92C27"/>
    <w:rsid w:val="00A95B59"/>
    <w:rsid w:val="00AA06CC"/>
    <w:rsid w:val="00AA12CC"/>
    <w:rsid w:val="00AA1AD7"/>
    <w:rsid w:val="00AA4301"/>
    <w:rsid w:val="00AA4696"/>
    <w:rsid w:val="00AA74FA"/>
    <w:rsid w:val="00AA7E68"/>
    <w:rsid w:val="00AB0F2B"/>
    <w:rsid w:val="00AB38B9"/>
    <w:rsid w:val="00AB3A29"/>
    <w:rsid w:val="00AB3B3E"/>
    <w:rsid w:val="00AB4554"/>
    <w:rsid w:val="00AB47DA"/>
    <w:rsid w:val="00AB6F3B"/>
    <w:rsid w:val="00AB78A8"/>
    <w:rsid w:val="00AC0E2E"/>
    <w:rsid w:val="00AC200A"/>
    <w:rsid w:val="00AC235F"/>
    <w:rsid w:val="00AC47B6"/>
    <w:rsid w:val="00AC4E8A"/>
    <w:rsid w:val="00AD095B"/>
    <w:rsid w:val="00AD17CD"/>
    <w:rsid w:val="00AD20B8"/>
    <w:rsid w:val="00AD4615"/>
    <w:rsid w:val="00AE0F1E"/>
    <w:rsid w:val="00AE1DC8"/>
    <w:rsid w:val="00AE2CAF"/>
    <w:rsid w:val="00AE325A"/>
    <w:rsid w:val="00AE7134"/>
    <w:rsid w:val="00AF1165"/>
    <w:rsid w:val="00AF5000"/>
    <w:rsid w:val="00AF605F"/>
    <w:rsid w:val="00AF74C6"/>
    <w:rsid w:val="00B026D9"/>
    <w:rsid w:val="00B03C02"/>
    <w:rsid w:val="00B04B6B"/>
    <w:rsid w:val="00B068A9"/>
    <w:rsid w:val="00B07C1E"/>
    <w:rsid w:val="00B115A9"/>
    <w:rsid w:val="00B17EE1"/>
    <w:rsid w:val="00B20C2D"/>
    <w:rsid w:val="00B328BC"/>
    <w:rsid w:val="00B332B2"/>
    <w:rsid w:val="00B3596D"/>
    <w:rsid w:val="00B364C7"/>
    <w:rsid w:val="00B36EC7"/>
    <w:rsid w:val="00B40523"/>
    <w:rsid w:val="00B40B9C"/>
    <w:rsid w:val="00B47EE5"/>
    <w:rsid w:val="00B52383"/>
    <w:rsid w:val="00B52F7A"/>
    <w:rsid w:val="00B53337"/>
    <w:rsid w:val="00B55D49"/>
    <w:rsid w:val="00B56701"/>
    <w:rsid w:val="00B5684F"/>
    <w:rsid w:val="00B64C2B"/>
    <w:rsid w:val="00B664EC"/>
    <w:rsid w:val="00B66FAE"/>
    <w:rsid w:val="00B71C60"/>
    <w:rsid w:val="00B75584"/>
    <w:rsid w:val="00B75FC3"/>
    <w:rsid w:val="00B7608A"/>
    <w:rsid w:val="00B8078D"/>
    <w:rsid w:val="00B86E71"/>
    <w:rsid w:val="00B872C2"/>
    <w:rsid w:val="00B87741"/>
    <w:rsid w:val="00B9023C"/>
    <w:rsid w:val="00B92B8D"/>
    <w:rsid w:val="00B934B8"/>
    <w:rsid w:val="00B93FA9"/>
    <w:rsid w:val="00B94956"/>
    <w:rsid w:val="00B94B0C"/>
    <w:rsid w:val="00BA1DC5"/>
    <w:rsid w:val="00BB0D3D"/>
    <w:rsid w:val="00BB5588"/>
    <w:rsid w:val="00BB6642"/>
    <w:rsid w:val="00BB67A4"/>
    <w:rsid w:val="00BB6909"/>
    <w:rsid w:val="00BC402D"/>
    <w:rsid w:val="00BC5430"/>
    <w:rsid w:val="00BC705B"/>
    <w:rsid w:val="00BD3A32"/>
    <w:rsid w:val="00BD78D0"/>
    <w:rsid w:val="00BE32D5"/>
    <w:rsid w:val="00BE4240"/>
    <w:rsid w:val="00BE4D8C"/>
    <w:rsid w:val="00BE6BDE"/>
    <w:rsid w:val="00BF0777"/>
    <w:rsid w:val="00BF0D32"/>
    <w:rsid w:val="00BF17EE"/>
    <w:rsid w:val="00BF360D"/>
    <w:rsid w:val="00BF6991"/>
    <w:rsid w:val="00BF6F85"/>
    <w:rsid w:val="00BF7DDD"/>
    <w:rsid w:val="00C02889"/>
    <w:rsid w:val="00C03593"/>
    <w:rsid w:val="00C14D74"/>
    <w:rsid w:val="00C21D33"/>
    <w:rsid w:val="00C23208"/>
    <w:rsid w:val="00C23A00"/>
    <w:rsid w:val="00C24864"/>
    <w:rsid w:val="00C3314D"/>
    <w:rsid w:val="00C340FB"/>
    <w:rsid w:val="00C34681"/>
    <w:rsid w:val="00C35FE2"/>
    <w:rsid w:val="00C41B09"/>
    <w:rsid w:val="00C4377C"/>
    <w:rsid w:val="00C47F0F"/>
    <w:rsid w:val="00C6639D"/>
    <w:rsid w:val="00C66736"/>
    <w:rsid w:val="00C66A6C"/>
    <w:rsid w:val="00C66B5F"/>
    <w:rsid w:val="00C67787"/>
    <w:rsid w:val="00C72E6B"/>
    <w:rsid w:val="00C7357F"/>
    <w:rsid w:val="00C736D8"/>
    <w:rsid w:val="00C746EA"/>
    <w:rsid w:val="00C74E30"/>
    <w:rsid w:val="00C7510A"/>
    <w:rsid w:val="00C75865"/>
    <w:rsid w:val="00C76DC0"/>
    <w:rsid w:val="00C80B62"/>
    <w:rsid w:val="00C821C6"/>
    <w:rsid w:val="00C82259"/>
    <w:rsid w:val="00C8468B"/>
    <w:rsid w:val="00C84BBD"/>
    <w:rsid w:val="00C8639B"/>
    <w:rsid w:val="00C87D94"/>
    <w:rsid w:val="00C935D0"/>
    <w:rsid w:val="00C9558F"/>
    <w:rsid w:val="00CA187D"/>
    <w:rsid w:val="00CA218F"/>
    <w:rsid w:val="00CA3DA3"/>
    <w:rsid w:val="00CA54D9"/>
    <w:rsid w:val="00CA6943"/>
    <w:rsid w:val="00CB0A99"/>
    <w:rsid w:val="00CB2B5B"/>
    <w:rsid w:val="00CB2E73"/>
    <w:rsid w:val="00CB6432"/>
    <w:rsid w:val="00CC1BAA"/>
    <w:rsid w:val="00CC303D"/>
    <w:rsid w:val="00CC3719"/>
    <w:rsid w:val="00CC3816"/>
    <w:rsid w:val="00CC381E"/>
    <w:rsid w:val="00CC4079"/>
    <w:rsid w:val="00CC4DE0"/>
    <w:rsid w:val="00CC4F07"/>
    <w:rsid w:val="00CD6609"/>
    <w:rsid w:val="00CD7842"/>
    <w:rsid w:val="00CE13E8"/>
    <w:rsid w:val="00CE3630"/>
    <w:rsid w:val="00CE3B9F"/>
    <w:rsid w:val="00CE5168"/>
    <w:rsid w:val="00CE6FCF"/>
    <w:rsid w:val="00CF53A7"/>
    <w:rsid w:val="00D02144"/>
    <w:rsid w:val="00D034E3"/>
    <w:rsid w:val="00D04E71"/>
    <w:rsid w:val="00D05D2F"/>
    <w:rsid w:val="00D11CCA"/>
    <w:rsid w:val="00D11F46"/>
    <w:rsid w:val="00D126D8"/>
    <w:rsid w:val="00D16616"/>
    <w:rsid w:val="00D17090"/>
    <w:rsid w:val="00D17BF5"/>
    <w:rsid w:val="00D20BF5"/>
    <w:rsid w:val="00D232AB"/>
    <w:rsid w:val="00D26209"/>
    <w:rsid w:val="00D26866"/>
    <w:rsid w:val="00D31569"/>
    <w:rsid w:val="00D333A5"/>
    <w:rsid w:val="00D348AC"/>
    <w:rsid w:val="00D34DCC"/>
    <w:rsid w:val="00D350F5"/>
    <w:rsid w:val="00D35C09"/>
    <w:rsid w:val="00D411B4"/>
    <w:rsid w:val="00D45D51"/>
    <w:rsid w:val="00D464BD"/>
    <w:rsid w:val="00D4657A"/>
    <w:rsid w:val="00D469D5"/>
    <w:rsid w:val="00D47150"/>
    <w:rsid w:val="00D54BFD"/>
    <w:rsid w:val="00D556E2"/>
    <w:rsid w:val="00D57422"/>
    <w:rsid w:val="00D60280"/>
    <w:rsid w:val="00D670E6"/>
    <w:rsid w:val="00D709C2"/>
    <w:rsid w:val="00D72D4E"/>
    <w:rsid w:val="00D77DAA"/>
    <w:rsid w:val="00D81062"/>
    <w:rsid w:val="00D86D5F"/>
    <w:rsid w:val="00D97AF6"/>
    <w:rsid w:val="00DA18E1"/>
    <w:rsid w:val="00DA273B"/>
    <w:rsid w:val="00DA3C69"/>
    <w:rsid w:val="00DA556B"/>
    <w:rsid w:val="00DA5668"/>
    <w:rsid w:val="00DA6F43"/>
    <w:rsid w:val="00DB14FF"/>
    <w:rsid w:val="00DB425E"/>
    <w:rsid w:val="00DB5B52"/>
    <w:rsid w:val="00DB70AB"/>
    <w:rsid w:val="00DC0DF0"/>
    <w:rsid w:val="00DC1E60"/>
    <w:rsid w:val="00DC1E70"/>
    <w:rsid w:val="00DC27EE"/>
    <w:rsid w:val="00DC28E7"/>
    <w:rsid w:val="00DC59B8"/>
    <w:rsid w:val="00DC6622"/>
    <w:rsid w:val="00DC6E91"/>
    <w:rsid w:val="00DD14F1"/>
    <w:rsid w:val="00DD4733"/>
    <w:rsid w:val="00DD5F73"/>
    <w:rsid w:val="00DD60CC"/>
    <w:rsid w:val="00DE1C96"/>
    <w:rsid w:val="00DE226F"/>
    <w:rsid w:val="00DE3816"/>
    <w:rsid w:val="00DE403F"/>
    <w:rsid w:val="00DE59DA"/>
    <w:rsid w:val="00DF13F9"/>
    <w:rsid w:val="00DF192C"/>
    <w:rsid w:val="00DF483E"/>
    <w:rsid w:val="00DF597B"/>
    <w:rsid w:val="00DF704B"/>
    <w:rsid w:val="00E01688"/>
    <w:rsid w:val="00E02B0A"/>
    <w:rsid w:val="00E03992"/>
    <w:rsid w:val="00E04CCC"/>
    <w:rsid w:val="00E10FC7"/>
    <w:rsid w:val="00E1189F"/>
    <w:rsid w:val="00E11C93"/>
    <w:rsid w:val="00E14419"/>
    <w:rsid w:val="00E14432"/>
    <w:rsid w:val="00E166C3"/>
    <w:rsid w:val="00E20E4F"/>
    <w:rsid w:val="00E22ECA"/>
    <w:rsid w:val="00E24944"/>
    <w:rsid w:val="00E25374"/>
    <w:rsid w:val="00E255EF"/>
    <w:rsid w:val="00E26DB8"/>
    <w:rsid w:val="00E27437"/>
    <w:rsid w:val="00E27806"/>
    <w:rsid w:val="00E3164F"/>
    <w:rsid w:val="00E323BD"/>
    <w:rsid w:val="00E3277B"/>
    <w:rsid w:val="00E32CE3"/>
    <w:rsid w:val="00E33161"/>
    <w:rsid w:val="00E33B0E"/>
    <w:rsid w:val="00E34138"/>
    <w:rsid w:val="00E369C1"/>
    <w:rsid w:val="00E36F2A"/>
    <w:rsid w:val="00E37A43"/>
    <w:rsid w:val="00E43302"/>
    <w:rsid w:val="00E44425"/>
    <w:rsid w:val="00E46209"/>
    <w:rsid w:val="00E53CB5"/>
    <w:rsid w:val="00E53CCD"/>
    <w:rsid w:val="00E5600E"/>
    <w:rsid w:val="00E5609F"/>
    <w:rsid w:val="00E56258"/>
    <w:rsid w:val="00E569DB"/>
    <w:rsid w:val="00E578B5"/>
    <w:rsid w:val="00E6010D"/>
    <w:rsid w:val="00E607BA"/>
    <w:rsid w:val="00E634DD"/>
    <w:rsid w:val="00E669C4"/>
    <w:rsid w:val="00E6700B"/>
    <w:rsid w:val="00E70BA5"/>
    <w:rsid w:val="00E71855"/>
    <w:rsid w:val="00E719A9"/>
    <w:rsid w:val="00E76CF2"/>
    <w:rsid w:val="00E84936"/>
    <w:rsid w:val="00E85551"/>
    <w:rsid w:val="00E85B84"/>
    <w:rsid w:val="00E90D2A"/>
    <w:rsid w:val="00E92209"/>
    <w:rsid w:val="00E923C4"/>
    <w:rsid w:val="00E953EC"/>
    <w:rsid w:val="00E954F5"/>
    <w:rsid w:val="00EA10F6"/>
    <w:rsid w:val="00EA1DE4"/>
    <w:rsid w:val="00EA60EA"/>
    <w:rsid w:val="00EA66E9"/>
    <w:rsid w:val="00EB2008"/>
    <w:rsid w:val="00EB29BF"/>
    <w:rsid w:val="00EB528F"/>
    <w:rsid w:val="00EB6724"/>
    <w:rsid w:val="00EC026A"/>
    <w:rsid w:val="00EC0762"/>
    <w:rsid w:val="00EC083C"/>
    <w:rsid w:val="00EC18BB"/>
    <w:rsid w:val="00ED31E8"/>
    <w:rsid w:val="00ED3C69"/>
    <w:rsid w:val="00ED5E81"/>
    <w:rsid w:val="00EE3193"/>
    <w:rsid w:val="00EE45E6"/>
    <w:rsid w:val="00EE4FBF"/>
    <w:rsid w:val="00EE5BA8"/>
    <w:rsid w:val="00EF0BCC"/>
    <w:rsid w:val="00EF2083"/>
    <w:rsid w:val="00EF2C9C"/>
    <w:rsid w:val="00EF39F2"/>
    <w:rsid w:val="00EF5055"/>
    <w:rsid w:val="00EF531F"/>
    <w:rsid w:val="00EF5CBA"/>
    <w:rsid w:val="00F003D3"/>
    <w:rsid w:val="00F0230C"/>
    <w:rsid w:val="00F02422"/>
    <w:rsid w:val="00F03E32"/>
    <w:rsid w:val="00F0418D"/>
    <w:rsid w:val="00F04A39"/>
    <w:rsid w:val="00F10DCF"/>
    <w:rsid w:val="00F13023"/>
    <w:rsid w:val="00F15AAB"/>
    <w:rsid w:val="00F16A14"/>
    <w:rsid w:val="00F1733A"/>
    <w:rsid w:val="00F21118"/>
    <w:rsid w:val="00F22496"/>
    <w:rsid w:val="00F234CE"/>
    <w:rsid w:val="00F23814"/>
    <w:rsid w:val="00F2460D"/>
    <w:rsid w:val="00F24E4E"/>
    <w:rsid w:val="00F2520A"/>
    <w:rsid w:val="00F3292D"/>
    <w:rsid w:val="00F33971"/>
    <w:rsid w:val="00F36BE1"/>
    <w:rsid w:val="00F4174B"/>
    <w:rsid w:val="00F42E75"/>
    <w:rsid w:val="00F50295"/>
    <w:rsid w:val="00F507B6"/>
    <w:rsid w:val="00F508A7"/>
    <w:rsid w:val="00F516DD"/>
    <w:rsid w:val="00F517FA"/>
    <w:rsid w:val="00F52D16"/>
    <w:rsid w:val="00F5736D"/>
    <w:rsid w:val="00F6059F"/>
    <w:rsid w:val="00F618D5"/>
    <w:rsid w:val="00F63851"/>
    <w:rsid w:val="00F63BD9"/>
    <w:rsid w:val="00F6694C"/>
    <w:rsid w:val="00F66B2D"/>
    <w:rsid w:val="00F67A3A"/>
    <w:rsid w:val="00F711A7"/>
    <w:rsid w:val="00F71E7A"/>
    <w:rsid w:val="00F75D87"/>
    <w:rsid w:val="00F8072D"/>
    <w:rsid w:val="00F80816"/>
    <w:rsid w:val="00F8145F"/>
    <w:rsid w:val="00F83D9E"/>
    <w:rsid w:val="00F9190A"/>
    <w:rsid w:val="00F94E70"/>
    <w:rsid w:val="00F96F18"/>
    <w:rsid w:val="00F97BB8"/>
    <w:rsid w:val="00FA248E"/>
    <w:rsid w:val="00FA2AFF"/>
    <w:rsid w:val="00FA3619"/>
    <w:rsid w:val="00FA38D4"/>
    <w:rsid w:val="00FA3901"/>
    <w:rsid w:val="00FA6374"/>
    <w:rsid w:val="00FB59FE"/>
    <w:rsid w:val="00FB614B"/>
    <w:rsid w:val="00FB6B57"/>
    <w:rsid w:val="00FB7891"/>
    <w:rsid w:val="00FC1922"/>
    <w:rsid w:val="00FC1F46"/>
    <w:rsid w:val="00FC7FD9"/>
    <w:rsid w:val="00FD0FA9"/>
    <w:rsid w:val="00FD13E5"/>
    <w:rsid w:val="00FD33DF"/>
    <w:rsid w:val="00FD77A2"/>
    <w:rsid w:val="00FE0D78"/>
    <w:rsid w:val="00FE17CB"/>
    <w:rsid w:val="00FE1FE0"/>
    <w:rsid w:val="00FE204F"/>
    <w:rsid w:val="00FE3DF9"/>
    <w:rsid w:val="00FE4C57"/>
    <w:rsid w:val="00FF152F"/>
    <w:rsid w:val="00FF340C"/>
    <w:rsid w:val="00FF5874"/>
    <w:rsid w:val="00FF689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9C309"/>
  <w15:docId w15:val="{BE3AE2CD-F156-488E-9C81-744DBE95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34681"/>
    <w:pPr>
      <w:keepNext/>
      <w:keepLines/>
      <w:ind w:firstLine="709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6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Normal bullet 2,Bullets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annotation reference"/>
    <w:basedOn w:val="a0"/>
    <w:uiPriority w:val="99"/>
    <w:unhideWhenUsed/>
    <w:qFormat/>
    <w:rsid w:val="00E24944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qFormat/>
    <w:rsid w:val="00E24944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qFormat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24944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a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b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c">
    <w:name w:val="Body Text Indent"/>
    <w:basedOn w:val="a"/>
    <w:link w:val="afd"/>
    <w:rsid w:val="001A3C01"/>
    <w:pPr>
      <w:ind w:firstLine="720"/>
    </w:pPr>
    <w:rPr>
      <w:szCs w:val="20"/>
      <w:lang w:eastAsia="en-US"/>
    </w:rPr>
  </w:style>
  <w:style w:type="character" w:customStyle="1" w:styleId="afd">
    <w:name w:val="Основний текст з відступом Знак"/>
    <w:basedOn w:val="a0"/>
    <w:link w:val="afc"/>
    <w:rsid w:val="001A3C01"/>
    <w:rPr>
      <w:rFonts w:ascii="Times New Roman" w:hAnsi="Times New Roman" w:cs="Times New Roman"/>
      <w:sz w:val="28"/>
      <w:szCs w:val="20"/>
    </w:rPr>
  </w:style>
  <w:style w:type="character" w:styleId="afe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f">
    <w:name w:val="endnote text"/>
    <w:basedOn w:val="a"/>
    <w:link w:val="aff0"/>
    <w:uiPriority w:val="99"/>
    <w:semiHidden/>
    <w:unhideWhenUsed/>
    <w:rsid w:val="00793DA6"/>
    <w:rPr>
      <w:sz w:val="20"/>
      <w:szCs w:val="20"/>
    </w:rPr>
  </w:style>
  <w:style w:type="character" w:customStyle="1" w:styleId="aff0">
    <w:name w:val="Текст кінцевої виноски Знак"/>
    <w:basedOn w:val="a0"/>
    <w:link w:val="aff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1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793DA6"/>
    <w:rPr>
      <w:sz w:val="20"/>
      <w:szCs w:val="20"/>
    </w:rPr>
  </w:style>
  <w:style w:type="character" w:customStyle="1" w:styleId="aff3">
    <w:name w:val="Текст виноски Знак"/>
    <w:basedOn w:val="a0"/>
    <w:link w:val="aff2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4">
    <w:name w:val="footnote reference"/>
    <w:basedOn w:val="a0"/>
    <w:uiPriority w:val="99"/>
    <w:semiHidden/>
    <w:unhideWhenUsed/>
    <w:rsid w:val="00793DA6"/>
    <w:rPr>
      <w:vertAlign w:val="superscript"/>
    </w:rPr>
  </w:style>
  <w:style w:type="paragraph" w:styleId="aff5">
    <w:name w:val="Body Text"/>
    <w:basedOn w:val="a"/>
    <w:link w:val="aff6"/>
    <w:rsid w:val="009F43A9"/>
    <w:pPr>
      <w:spacing w:after="120"/>
      <w:jc w:val="left"/>
    </w:pPr>
    <w:rPr>
      <w:sz w:val="24"/>
      <w:szCs w:val="24"/>
      <w:lang w:val="ru-RU" w:eastAsia="ru-RU"/>
    </w:rPr>
  </w:style>
  <w:style w:type="character" w:customStyle="1" w:styleId="aff6">
    <w:name w:val="Основний текст Знак"/>
    <w:basedOn w:val="a0"/>
    <w:link w:val="aff5"/>
    <w:rsid w:val="009F43A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34681"/>
    <w:rPr>
      <w:rFonts w:ascii="Times New Roman" w:eastAsiaTheme="majorEastAsia" w:hAnsi="Times New Roman" w:cstheme="majorBidi"/>
      <w:b/>
      <w:sz w:val="28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C34681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eastAsia="uk-UA"/>
    </w:rPr>
  </w:style>
  <w:style w:type="paragraph" w:customStyle="1" w:styleId="tj">
    <w:name w:val="tj"/>
    <w:basedOn w:val="a"/>
    <w:rsid w:val="0083584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tc">
    <w:name w:val="tc"/>
    <w:basedOn w:val="a"/>
    <w:rsid w:val="0083584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s2">
    <w:name w:val="fs2"/>
    <w:basedOn w:val="a0"/>
    <w:rsid w:val="0083584A"/>
  </w:style>
  <w:style w:type="character" w:customStyle="1" w:styleId="af4">
    <w:name w:val="Абзац списку Знак"/>
    <w:aliases w:val="Normal bullet 2 Знак,Bullets Знак"/>
    <w:basedOn w:val="a0"/>
    <w:link w:val="af3"/>
    <w:uiPriority w:val="34"/>
    <w:qFormat/>
    <w:locked/>
    <w:rsid w:val="00C35FE2"/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B86275-D9F9-402E-96AB-89E52EFA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12511</Words>
  <Characters>7132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1a4506</dc:creator>
  <cp:keywords/>
  <dc:description/>
  <cp:lastModifiedBy>Котляр Наталія Олександрівна</cp:lastModifiedBy>
  <cp:revision>2</cp:revision>
  <cp:lastPrinted>2016-05-24T11:03:00Z</cp:lastPrinted>
  <dcterms:created xsi:type="dcterms:W3CDTF">2023-11-16T19:33:00Z</dcterms:created>
  <dcterms:modified xsi:type="dcterms:W3CDTF">2023-11-16T19:33:00Z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