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E3" w:rsidRDefault="00B930E3">
      <w:pPr>
        <w:rPr>
          <w:sz w:val="2"/>
          <w:szCs w:val="2"/>
        </w:rPr>
      </w:pPr>
    </w:p>
    <w:p w:rsidR="000C2E7F" w:rsidRPr="00B930E3" w:rsidRDefault="000C2E7F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:rsidTr="00B930E3">
        <w:trPr>
          <w:trHeight w:val="851"/>
        </w:trPr>
        <w:tc>
          <w:tcPr>
            <w:tcW w:w="3207" w:type="dxa"/>
          </w:tcPr>
          <w:p w:rsidR="00410EC0" w:rsidRDefault="00410EC0" w:rsidP="000F60CD"/>
        </w:tc>
        <w:tc>
          <w:tcPr>
            <w:tcW w:w="3227" w:type="dxa"/>
            <w:vMerge w:val="restart"/>
          </w:tcPr>
          <w:p w:rsidR="00410EC0" w:rsidRDefault="00410EC0" w:rsidP="000F60CD">
            <w:pPr>
              <w:jc w:val="center"/>
            </w:pPr>
            <w:r>
              <w:object w:dxaOrig="1595" w:dyaOrig="2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48pt" o:ole="">
                  <v:imagedata r:id="rId12" o:title=""/>
                </v:shape>
                <o:OLEObject Type="Embed" ProgID="CorelDraw.Graphic.16" ShapeID="_x0000_i1025" DrawAspect="Content" ObjectID="_1797673986" r:id="rId13"/>
              </w:object>
            </w:r>
          </w:p>
        </w:tc>
        <w:tc>
          <w:tcPr>
            <w:tcW w:w="3204" w:type="dxa"/>
          </w:tcPr>
          <w:p w:rsidR="00410EC0" w:rsidRDefault="00410EC0" w:rsidP="000F60CD"/>
        </w:tc>
      </w:tr>
      <w:tr w:rsidR="00410EC0" w:rsidTr="00B930E3">
        <w:tc>
          <w:tcPr>
            <w:tcW w:w="3207" w:type="dxa"/>
          </w:tcPr>
          <w:p w:rsidR="00410EC0" w:rsidRDefault="00410EC0" w:rsidP="000F60CD"/>
        </w:tc>
        <w:tc>
          <w:tcPr>
            <w:tcW w:w="3227" w:type="dxa"/>
            <w:vMerge/>
          </w:tcPr>
          <w:p w:rsidR="00410EC0" w:rsidRDefault="00410EC0" w:rsidP="000F60CD"/>
        </w:tc>
        <w:tc>
          <w:tcPr>
            <w:tcW w:w="3204" w:type="dxa"/>
          </w:tcPr>
          <w:p w:rsidR="00410EC0" w:rsidRDefault="00410EC0" w:rsidP="000F60CD"/>
        </w:tc>
      </w:tr>
      <w:tr w:rsidR="00410EC0" w:rsidTr="00B930E3">
        <w:tc>
          <w:tcPr>
            <w:tcW w:w="9638" w:type="dxa"/>
            <w:gridSpan w:val="3"/>
          </w:tcPr>
          <w:p w:rsidR="00410EC0" w:rsidRPr="00E10F0A" w:rsidRDefault="00410EC0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:rsidR="00410EC0" w:rsidRDefault="00410EC0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10EC0" w:rsidTr="000F60CD">
        <w:tc>
          <w:tcPr>
            <w:tcW w:w="3510" w:type="dxa"/>
            <w:vAlign w:val="bottom"/>
          </w:tcPr>
          <w:p w:rsidR="00410EC0" w:rsidRPr="00566BA2" w:rsidRDefault="00410EC0" w:rsidP="000F60CD"/>
        </w:tc>
        <w:tc>
          <w:tcPr>
            <w:tcW w:w="2694" w:type="dxa"/>
          </w:tcPr>
          <w:p w:rsidR="00410EC0" w:rsidRDefault="00410EC0" w:rsidP="000F60CD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:rsidR="00410EC0" w:rsidRPr="00101D5A" w:rsidRDefault="00410EC0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:rsidR="00410EC0" w:rsidRDefault="00410EC0" w:rsidP="000F60CD">
            <w:pPr>
              <w:jc w:val="left"/>
            </w:pPr>
          </w:p>
        </w:tc>
      </w:tr>
    </w:tbl>
    <w:p w:rsidR="00410EC0" w:rsidRPr="00CD0CD4" w:rsidRDefault="00410EC0" w:rsidP="00410EC0">
      <w:pPr>
        <w:rPr>
          <w:sz w:val="2"/>
          <w:szCs w:val="2"/>
        </w:rPr>
      </w:pPr>
    </w:p>
    <w:p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10EC0" w:rsidRPr="00CD0CD4" w:rsidTr="000F60CD">
        <w:trPr>
          <w:jc w:val="center"/>
        </w:trPr>
        <w:tc>
          <w:tcPr>
            <w:tcW w:w="5000" w:type="pct"/>
          </w:tcPr>
          <w:p w:rsidR="00410EC0" w:rsidRPr="00CD0CD4" w:rsidRDefault="000C2E7F" w:rsidP="00385D46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0C2E7F">
              <w:rPr>
                <w:bCs/>
                <w:color w:val="000000" w:themeColor="text1"/>
              </w:rPr>
              <w:t xml:space="preserve">Про </w:t>
            </w:r>
            <w:r w:rsidR="00C1618D">
              <w:rPr>
                <w:bCs/>
                <w:color w:val="000000" w:themeColor="text1"/>
              </w:rPr>
              <w:t>затвердження</w:t>
            </w:r>
            <w:r w:rsidRPr="000C2E7F">
              <w:rPr>
                <w:bCs/>
                <w:color w:val="000000" w:themeColor="text1"/>
              </w:rPr>
              <w:t xml:space="preserve"> </w:t>
            </w:r>
            <w:r w:rsidR="00385D46">
              <w:rPr>
                <w:bCs/>
                <w:color w:val="000000" w:themeColor="text1"/>
              </w:rPr>
              <w:t>З</w:t>
            </w:r>
            <w:r w:rsidRPr="000C2E7F">
              <w:rPr>
                <w:bCs/>
                <w:color w:val="000000" w:themeColor="text1"/>
              </w:rPr>
              <w:t>мін до Правил складання та подання звітності учасниками ринку небанківських фінансових послуг до Національного банку України</w:t>
            </w:r>
          </w:p>
        </w:tc>
      </w:tr>
    </w:tbl>
    <w:p w:rsidR="00410EC0" w:rsidRDefault="000C2E7F" w:rsidP="00410EC0">
      <w:pPr>
        <w:spacing w:before="240" w:after="240"/>
        <w:ind w:firstLine="567"/>
        <w:rPr>
          <w:b/>
        </w:rPr>
      </w:pPr>
      <w:r w:rsidRPr="00D353F3">
        <w:rPr>
          <w:color w:val="000000" w:themeColor="text1"/>
        </w:rPr>
        <w:t>Відповідно до статей 7, 15, 56, 67 Закону України “Про Національни</w:t>
      </w:r>
      <w:r w:rsidR="00BE3431">
        <w:rPr>
          <w:color w:val="000000" w:themeColor="text1"/>
        </w:rPr>
        <w:t>й банк України”, статей 16, 21</w:t>
      </w:r>
      <w:r w:rsidRPr="00D353F3">
        <w:rPr>
          <w:color w:val="000000" w:themeColor="text1"/>
        </w:rPr>
        <w:t>, 43 Закону України “Про фінансові послуги та фінансові компанії”, з метою забезпечення виконання Національним банком України функцій щодо</w:t>
      </w:r>
      <w:r w:rsidRPr="00D353F3">
        <w:rPr>
          <w:color w:val="000000" w:themeColor="text1"/>
          <w:lang w:eastAsia="en-US"/>
        </w:rPr>
        <w:t xml:space="preserve"> нормативно-правового регулювання діяльності з надання фінансових послуг та нагляду за такою діяльністю</w:t>
      </w:r>
      <w:r w:rsidR="00410EC0" w:rsidRPr="00CD0CD4">
        <w:rPr>
          <w:b/>
        </w:rPr>
        <w:t xml:space="preserve"> </w:t>
      </w:r>
      <w:r w:rsidR="00410EC0" w:rsidRPr="00CD0CD4">
        <w:t>Правління Національного банку України</w:t>
      </w:r>
      <w:r w:rsidR="00410EC0" w:rsidRPr="00CD0CD4">
        <w:rPr>
          <w:b/>
        </w:rPr>
        <w:t xml:space="preserve"> постановляє:</w:t>
      </w:r>
    </w:p>
    <w:p w:rsidR="00C1618D" w:rsidRDefault="00C1618D" w:rsidP="00C1618D">
      <w:pPr>
        <w:pStyle w:val="af3"/>
        <w:numPr>
          <w:ilvl w:val="0"/>
          <w:numId w:val="2"/>
        </w:numPr>
        <w:tabs>
          <w:tab w:val="left" w:pos="993"/>
        </w:tabs>
        <w:ind w:left="0" w:firstLine="567"/>
        <w:rPr>
          <w:color w:val="000000" w:themeColor="text1"/>
          <w:lang w:eastAsia="ru-RU"/>
        </w:rPr>
      </w:pPr>
      <w:r w:rsidRPr="00D353F3">
        <w:rPr>
          <w:color w:val="000000" w:themeColor="text1"/>
          <w:lang w:eastAsia="ru-RU"/>
        </w:rPr>
        <w:t xml:space="preserve">Затвердити Зміни до </w:t>
      </w:r>
      <w:r w:rsidRPr="00D353F3">
        <w:rPr>
          <w:color w:val="000000" w:themeColor="text1"/>
          <w:shd w:val="clear" w:color="auto" w:fill="FFFFFF"/>
        </w:rPr>
        <w:t>Правил складання та подання звітності учасниками ринку небанківських фінансових послуг</w:t>
      </w:r>
      <w:r w:rsidRPr="00D353F3">
        <w:rPr>
          <w:color w:val="000000" w:themeColor="text1"/>
          <w:shd w:val="clear" w:color="auto" w:fill="FFFFFF"/>
          <w:lang w:val="ru-RU"/>
        </w:rPr>
        <w:t xml:space="preserve"> </w:t>
      </w:r>
      <w:r w:rsidRPr="00D353F3">
        <w:rPr>
          <w:color w:val="000000" w:themeColor="text1"/>
          <w:shd w:val="clear" w:color="auto" w:fill="FFFFFF"/>
        </w:rPr>
        <w:t>до Національного банку України</w:t>
      </w:r>
      <w:r w:rsidRPr="00D353F3">
        <w:rPr>
          <w:color w:val="000000" w:themeColor="text1"/>
          <w:lang w:eastAsia="ru-RU"/>
        </w:rPr>
        <w:t xml:space="preserve">, затверджених постановою Правління Національного банку України </w:t>
      </w:r>
      <w:r w:rsidRPr="00D353F3">
        <w:rPr>
          <w:color w:val="000000" w:themeColor="text1"/>
        </w:rPr>
        <w:t>від 25 листопада 2021 року</w:t>
      </w:r>
      <w:r w:rsidRPr="00D353F3">
        <w:rPr>
          <w:color w:val="000000" w:themeColor="text1"/>
          <w:lang w:eastAsia="ru-RU"/>
        </w:rPr>
        <w:t xml:space="preserve"> № 123 (зі змінами)</w:t>
      </w:r>
      <w:r w:rsidR="005911DA">
        <w:rPr>
          <w:color w:val="000000" w:themeColor="text1"/>
          <w:lang w:eastAsia="ru-RU"/>
        </w:rPr>
        <w:t xml:space="preserve"> </w:t>
      </w:r>
      <w:r w:rsidR="005911DA">
        <w:rPr>
          <w:lang w:eastAsia="ru-RU"/>
        </w:rPr>
        <w:t xml:space="preserve">(далі </w:t>
      </w:r>
      <w:r w:rsidR="005911DA" w:rsidRPr="009A2CB7">
        <w:t>–</w:t>
      </w:r>
      <w:r w:rsidR="005911DA">
        <w:t xml:space="preserve"> Зміни до Правил</w:t>
      </w:r>
      <w:r w:rsidR="005911DA">
        <w:rPr>
          <w:lang w:eastAsia="ru-RU"/>
        </w:rPr>
        <w:t>)</w:t>
      </w:r>
      <w:r w:rsidRPr="00D353F3">
        <w:rPr>
          <w:color w:val="000000" w:themeColor="text1"/>
          <w:lang w:eastAsia="ru-RU"/>
        </w:rPr>
        <w:t>, що додаються.</w:t>
      </w:r>
    </w:p>
    <w:p w:rsidR="00517A7E" w:rsidRDefault="00517A7E" w:rsidP="00517A7E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410EC0" w:rsidRPr="00517A7E" w:rsidRDefault="000C2E7F" w:rsidP="00517A7E">
      <w:pPr>
        <w:pStyle w:val="af3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rFonts w:eastAsiaTheme="minorEastAsia"/>
          <w:noProof/>
          <w:color w:val="000000" w:themeColor="text1"/>
          <w:lang w:eastAsia="en-US"/>
        </w:rPr>
      </w:pPr>
      <w:r w:rsidRPr="00517A7E">
        <w:rPr>
          <w:color w:val="000000" w:themeColor="text1"/>
        </w:rPr>
        <w:t xml:space="preserve">Контроль за виконанням цієї постанови покласти на заступника Голови Національного банку України Сергія </w:t>
      </w:r>
      <w:proofErr w:type="spellStart"/>
      <w:r w:rsidRPr="00517A7E">
        <w:rPr>
          <w:color w:val="000000" w:themeColor="text1"/>
        </w:rPr>
        <w:t>Ніколайчука</w:t>
      </w:r>
      <w:proofErr w:type="spellEnd"/>
      <w:r w:rsidRPr="00517A7E">
        <w:rPr>
          <w:color w:val="000000" w:themeColor="text1"/>
        </w:rPr>
        <w:t>.</w:t>
      </w:r>
    </w:p>
    <w:p w:rsidR="000C2E7F" w:rsidRPr="000917DE" w:rsidRDefault="000C2E7F" w:rsidP="000C2E7F">
      <w:pPr>
        <w:pStyle w:val="af3"/>
        <w:rPr>
          <w:rFonts w:eastAsiaTheme="minorEastAsia"/>
          <w:noProof/>
          <w:color w:val="000000" w:themeColor="text1"/>
          <w:lang w:eastAsia="en-US"/>
        </w:rPr>
      </w:pPr>
    </w:p>
    <w:p w:rsidR="00517A7E" w:rsidRPr="005A0102" w:rsidRDefault="000C2E7F" w:rsidP="000917DE">
      <w:pPr>
        <w:pStyle w:val="af3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color w:val="000000" w:themeColor="text1"/>
          <w:lang w:eastAsia="zh-CN"/>
        </w:rPr>
      </w:pPr>
      <w:r w:rsidRPr="005A0102">
        <w:rPr>
          <w:color w:val="000000" w:themeColor="text1"/>
        </w:rPr>
        <w:t>Постанова набирає чинності з 01 квітня</w:t>
      </w:r>
      <w:r w:rsidR="00517A7E" w:rsidRPr="005A0102">
        <w:rPr>
          <w:color w:val="000000" w:themeColor="text1"/>
        </w:rPr>
        <w:t xml:space="preserve"> 2025 року, крім </w:t>
      </w:r>
      <w:r w:rsidR="000917DE" w:rsidRPr="005A0102">
        <w:rPr>
          <w:color w:val="000000" w:themeColor="text1"/>
        </w:rPr>
        <w:t>абзац</w:t>
      </w:r>
      <w:r w:rsidR="009D11CA" w:rsidRPr="005A0102">
        <w:rPr>
          <w:color w:val="000000" w:themeColor="text1"/>
        </w:rPr>
        <w:t>ів</w:t>
      </w:r>
      <w:r w:rsidR="000917DE" w:rsidRPr="005A0102">
        <w:rPr>
          <w:color w:val="000000" w:themeColor="text1"/>
        </w:rPr>
        <w:t xml:space="preserve"> </w:t>
      </w:r>
      <w:r w:rsidR="004943E8" w:rsidRPr="005A0102">
        <w:rPr>
          <w:color w:val="000000" w:themeColor="text1"/>
        </w:rPr>
        <w:t>шостого</w:t>
      </w:r>
      <w:r w:rsidR="000B3C5F" w:rsidRPr="005A0102">
        <w:rPr>
          <w:color w:val="000000" w:themeColor="text1"/>
        </w:rPr>
        <w:t> </w:t>
      </w:r>
      <w:r w:rsidR="005300C8" w:rsidRPr="005A0102">
        <w:rPr>
          <w:color w:val="000000" w:themeColor="text1"/>
        </w:rPr>
        <w:t>–</w:t>
      </w:r>
      <w:r w:rsidR="000B3C5F" w:rsidRPr="005A0102">
        <w:rPr>
          <w:color w:val="000000" w:themeColor="text1"/>
        </w:rPr>
        <w:t> </w:t>
      </w:r>
      <w:r w:rsidR="004943E8" w:rsidRPr="005A0102">
        <w:rPr>
          <w:color w:val="000000" w:themeColor="text1"/>
        </w:rPr>
        <w:t>дев’ятого підпункт</w:t>
      </w:r>
      <w:r w:rsidR="00106BCE" w:rsidRPr="005A0102">
        <w:rPr>
          <w:color w:val="000000" w:themeColor="text1"/>
        </w:rPr>
        <w:t>ів</w:t>
      </w:r>
      <w:r w:rsidR="004943E8" w:rsidRPr="005A0102">
        <w:rPr>
          <w:color w:val="000000" w:themeColor="text1"/>
        </w:rPr>
        <w:t xml:space="preserve"> 1</w:t>
      </w:r>
      <w:r w:rsidR="00106BCE" w:rsidRPr="005A0102">
        <w:rPr>
          <w:color w:val="000000" w:themeColor="text1"/>
        </w:rPr>
        <w:t xml:space="preserve">, 2 </w:t>
      </w:r>
      <w:r w:rsidR="004943E8" w:rsidRPr="005A0102">
        <w:rPr>
          <w:color w:val="000000" w:themeColor="text1"/>
        </w:rPr>
        <w:t>пункту 2</w:t>
      </w:r>
      <w:r w:rsidR="005300C8" w:rsidRPr="005A0102">
        <w:rPr>
          <w:color w:val="000000" w:themeColor="text1"/>
        </w:rPr>
        <w:t xml:space="preserve"> </w:t>
      </w:r>
      <w:r w:rsidR="00106BCE" w:rsidRPr="005A0102">
        <w:rPr>
          <w:bCs/>
        </w:rPr>
        <w:t xml:space="preserve">Змін до </w:t>
      </w:r>
      <w:r w:rsidR="00106BCE" w:rsidRPr="005A0102">
        <w:rPr>
          <w:lang w:eastAsia="zh-CN"/>
        </w:rPr>
        <w:t>Правил</w:t>
      </w:r>
      <w:r w:rsidR="00517A7E" w:rsidRPr="005A0102">
        <w:rPr>
          <w:color w:val="000000" w:themeColor="text1"/>
          <w:lang w:eastAsia="zh-CN"/>
        </w:rPr>
        <w:t xml:space="preserve">, </w:t>
      </w:r>
      <w:r w:rsidR="0041763F" w:rsidRPr="005A0102">
        <w:rPr>
          <w:color w:val="000000" w:themeColor="text1"/>
        </w:rPr>
        <w:t>які</w:t>
      </w:r>
      <w:r w:rsidR="00517A7E" w:rsidRPr="005A0102">
        <w:rPr>
          <w:color w:val="000000" w:themeColor="text1"/>
        </w:rPr>
        <w:t xml:space="preserve"> набирають чинності з 01 </w:t>
      </w:r>
      <w:r w:rsidR="000917DE" w:rsidRPr="005A0102">
        <w:rPr>
          <w:color w:val="000000" w:themeColor="text1"/>
        </w:rPr>
        <w:t>липня 2025 року.</w:t>
      </w:r>
    </w:p>
    <w:p w:rsidR="00517A7E" w:rsidRPr="00517A7E" w:rsidRDefault="00517A7E" w:rsidP="00517A7E">
      <w:pPr>
        <w:tabs>
          <w:tab w:val="left" w:pos="993"/>
        </w:tabs>
        <w:rPr>
          <w:highlight w:val="cyan"/>
          <w:lang w:eastAsia="zh-CN"/>
        </w:rPr>
      </w:pPr>
    </w:p>
    <w:p w:rsidR="00410EC0" w:rsidRPr="000B4B98" w:rsidRDefault="00410EC0" w:rsidP="00410EC0">
      <w:pPr>
        <w:spacing w:after="120"/>
      </w:pPr>
    </w:p>
    <w:p w:rsidR="000917DE" w:rsidRPr="000B4B98" w:rsidRDefault="000917DE" w:rsidP="00410EC0">
      <w:pPr>
        <w:spacing w:after="120"/>
      </w:pPr>
    </w:p>
    <w:p w:rsidR="00410EC0" w:rsidRPr="00CD0CD4" w:rsidRDefault="00410EC0" w:rsidP="00410EC0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CD0CD4" w:rsidTr="000F60CD">
        <w:tc>
          <w:tcPr>
            <w:tcW w:w="5387" w:type="dxa"/>
            <w:vAlign w:val="bottom"/>
          </w:tcPr>
          <w:p w:rsidR="00410EC0" w:rsidRPr="00CD0CD4" w:rsidRDefault="000C2E7F" w:rsidP="000F60CD">
            <w:pPr>
              <w:autoSpaceDE w:val="0"/>
              <w:autoSpaceDN w:val="0"/>
              <w:ind w:left="-111"/>
              <w:jc w:val="left"/>
            </w:pPr>
            <w:r w:rsidRPr="00D353F3">
              <w:rPr>
                <w:color w:val="000000" w:themeColor="text1"/>
              </w:rPr>
              <w:t>Голова</w:t>
            </w:r>
          </w:p>
        </w:tc>
        <w:tc>
          <w:tcPr>
            <w:tcW w:w="4252" w:type="dxa"/>
            <w:vAlign w:val="bottom"/>
          </w:tcPr>
          <w:p w:rsidR="00410EC0" w:rsidRPr="00CD0CD4" w:rsidRDefault="000C2E7F" w:rsidP="000F60C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D353F3">
              <w:rPr>
                <w:color w:val="000000" w:themeColor="text1"/>
              </w:rPr>
              <w:t>Андрій ПИШНИЙ</w:t>
            </w:r>
          </w:p>
        </w:tc>
      </w:tr>
    </w:tbl>
    <w:p w:rsidR="00410EC0" w:rsidRPr="00CD0CD4" w:rsidRDefault="00410EC0" w:rsidP="00410EC0"/>
    <w:p w:rsidR="00410EC0" w:rsidRPr="00CD0CD4" w:rsidRDefault="00410EC0" w:rsidP="00410EC0"/>
    <w:p w:rsidR="00410EC0" w:rsidRDefault="00410EC0" w:rsidP="00410EC0">
      <w:pPr>
        <w:jc w:val="left"/>
        <w:rPr>
          <w:color w:val="000000" w:themeColor="text1"/>
        </w:rPr>
      </w:pPr>
      <w:r w:rsidRPr="00CD0CD4">
        <w:t>Інд.</w:t>
      </w:r>
      <w:r w:rsidR="000C2E7F" w:rsidRPr="00D353F3">
        <w:rPr>
          <w:color w:val="000000" w:themeColor="text1"/>
        </w:rPr>
        <w:t xml:space="preserve"> 31</w:t>
      </w:r>
      <w:r w:rsidR="000C2E7F">
        <w:rPr>
          <w:color w:val="000000" w:themeColor="text1"/>
        </w:rPr>
        <w:t xml:space="preserve"> </w:t>
      </w:r>
    </w:p>
    <w:p w:rsidR="00691915" w:rsidRDefault="00691915" w:rsidP="00EA4D14">
      <w:pPr>
        <w:ind w:firstLine="5954"/>
        <w:jc w:val="left"/>
        <w:rPr>
          <w:lang w:val="ru-RU"/>
        </w:rPr>
        <w:sectPr w:rsidR="00691915" w:rsidSect="00B930E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text" w:tblpX="54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C1618D" w:rsidRPr="00D353F3" w:rsidTr="00C67304">
        <w:trPr>
          <w:trHeight w:val="306"/>
        </w:trPr>
        <w:tc>
          <w:tcPr>
            <w:tcW w:w="4361" w:type="dxa"/>
          </w:tcPr>
          <w:p w:rsidR="00C1618D" w:rsidRPr="00D353F3" w:rsidRDefault="00C1618D" w:rsidP="00C67304">
            <w:pPr>
              <w:tabs>
                <w:tab w:val="left" w:pos="5600"/>
              </w:tabs>
              <w:rPr>
                <w:color w:val="000000" w:themeColor="text1"/>
              </w:rPr>
            </w:pPr>
            <w:r w:rsidRPr="00D353F3">
              <w:rPr>
                <w:color w:val="000000" w:themeColor="text1"/>
              </w:rPr>
              <w:lastRenderedPageBreak/>
              <w:t>ЗАТВЕРДЖЕНО</w:t>
            </w:r>
          </w:p>
        </w:tc>
      </w:tr>
      <w:tr w:rsidR="00C1618D" w:rsidRPr="00D353F3" w:rsidTr="00C67304">
        <w:trPr>
          <w:trHeight w:val="320"/>
        </w:trPr>
        <w:tc>
          <w:tcPr>
            <w:tcW w:w="4361" w:type="dxa"/>
          </w:tcPr>
          <w:p w:rsidR="00C1618D" w:rsidRPr="00D353F3" w:rsidRDefault="00C1618D" w:rsidP="00C67304">
            <w:pPr>
              <w:tabs>
                <w:tab w:val="left" w:pos="5600"/>
              </w:tabs>
              <w:rPr>
                <w:color w:val="000000" w:themeColor="text1"/>
              </w:rPr>
            </w:pPr>
            <w:r w:rsidRPr="00D353F3">
              <w:rPr>
                <w:color w:val="000000" w:themeColor="text1"/>
              </w:rPr>
              <w:t>Постанова Правління</w:t>
            </w:r>
          </w:p>
        </w:tc>
      </w:tr>
      <w:tr w:rsidR="00C1618D" w:rsidRPr="00D353F3" w:rsidTr="00C67304">
        <w:trPr>
          <w:trHeight w:val="932"/>
        </w:trPr>
        <w:tc>
          <w:tcPr>
            <w:tcW w:w="4361" w:type="dxa"/>
          </w:tcPr>
          <w:p w:rsidR="00C1618D" w:rsidRPr="00D353F3" w:rsidRDefault="00C1618D" w:rsidP="00C67304">
            <w:pPr>
              <w:tabs>
                <w:tab w:val="left" w:pos="5600"/>
              </w:tabs>
              <w:rPr>
                <w:color w:val="000000" w:themeColor="text1"/>
              </w:rPr>
            </w:pPr>
            <w:r w:rsidRPr="00D353F3">
              <w:rPr>
                <w:color w:val="000000" w:themeColor="text1"/>
              </w:rPr>
              <w:t>Національного банку України</w:t>
            </w:r>
          </w:p>
          <w:p w:rsidR="00C1618D" w:rsidRPr="00D353F3" w:rsidRDefault="00C1618D" w:rsidP="00C67304">
            <w:pPr>
              <w:tabs>
                <w:tab w:val="left" w:pos="5600"/>
              </w:tabs>
              <w:rPr>
                <w:color w:val="000000" w:themeColor="text1"/>
              </w:rPr>
            </w:pPr>
            <w:r w:rsidRPr="00D353F3">
              <w:rPr>
                <w:color w:val="000000" w:themeColor="text1"/>
              </w:rPr>
              <w:t xml:space="preserve">                     </w:t>
            </w:r>
          </w:p>
        </w:tc>
      </w:tr>
    </w:tbl>
    <w:p w:rsidR="00C1618D" w:rsidRPr="00D353F3" w:rsidRDefault="00C1618D" w:rsidP="00C1618D">
      <w:pPr>
        <w:tabs>
          <w:tab w:val="left" w:pos="2160"/>
        </w:tabs>
        <w:jc w:val="center"/>
        <w:rPr>
          <w:color w:val="000000" w:themeColor="text1"/>
        </w:rPr>
      </w:pPr>
    </w:p>
    <w:p w:rsidR="00C1618D" w:rsidRPr="00D353F3" w:rsidRDefault="00C1618D" w:rsidP="00C1618D">
      <w:pPr>
        <w:rPr>
          <w:color w:val="000000" w:themeColor="text1"/>
        </w:rPr>
      </w:pPr>
    </w:p>
    <w:p w:rsidR="00C1618D" w:rsidRPr="00D353F3" w:rsidRDefault="00C1618D" w:rsidP="00C1618D">
      <w:pPr>
        <w:rPr>
          <w:color w:val="000000" w:themeColor="text1"/>
        </w:rPr>
      </w:pPr>
    </w:p>
    <w:p w:rsidR="00C1618D" w:rsidRPr="00D353F3" w:rsidRDefault="00C1618D" w:rsidP="00C1618D">
      <w:pPr>
        <w:tabs>
          <w:tab w:val="left" w:pos="5600"/>
        </w:tabs>
        <w:jc w:val="center"/>
        <w:rPr>
          <w:color w:val="000000" w:themeColor="text1"/>
        </w:rPr>
      </w:pPr>
    </w:p>
    <w:p w:rsidR="00C1618D" w:rsidRPr="00D353F3" w:rsidRDefault="00C1618D" w:rsidP="00C1618D">
      <w:pPr>
        <w:tabs>
          <w:tab w:val="left" w:pos="5600"/>
        </w:tabs>
        <w:ind w:firstLine="4395"/>
        <w:jc w:val="center"/>
        <w:rPr>
          <w:color w:val="000000" w:themeColor="text1"/>
        </w:rPr>
      </w:pPr>
    </w:p>
    <w:p w:rsidR="00C1618D" w:rsidRPr="00D353F3" w:rsidRDefault="00C1618D" w:rsidP="00C1618D">
      <w:pPr>
        <w:tabs>
          <w:tab w:val="left" w:pos="5600"/>
        </w:tabs>
        <w:ind w:firstLine="4395"/>
        <w:jc w:val="center"/>
        <w:rPr>
          <w:color w:val="000000" w:themeColor="text1"/>
        </w:rPr>
      </w:pPr>
    </w:p>
    <w:p w:rsidR="00C1618D" w:rsidRPr="00D353F3" w:rsidRDefault="00C1618D" w:rsidP="00C1618D">
      <w:pPr>
        <w:tabs>
          <w:tab w:val="left" w:pos="5600"/>
        </w:tabs>
        <w:ind w:firstLine="4395"/>
        <w:jc w:val="center"/>
        <w:rPr>
          <w:color w:val="000000" w:themeColor="text1"/>
        </w:rPr>
      </w:pPr>
    </w:p>
    <w:p w:rsidR="00C1618D" w:rsidRPr="00D353F3" w:rsidRDefault="00C1618D" w:rsidP="00C1618D">
      <w:pPr>
        <w:jc w:val="center"/>
        <w:rPr>
          <w:color w:val="000000" w:themeColor="text1"/>
          <w:lang w:eastAsia="zh-CN"/>
        </w:rPr>
      </w:pPr>
      <w:r w:rsidRPr="00D353F3">
        <w:rPr>
          <w:bCs/>
          <w:color w:val="000000" w:themeColor="text1"/>
        </w:rPr>
        <w:t xml:space="preserve">Зміни до </w:t>
      </w:r>
      <w:r w:rsidRPr="00D353F3">
        <w:rPr>
          <w:color w:val="000000" w:themeColor="text1"/>
          <w:lang w:eastAsia="zh-CN"/>
        </w:rPr>
        <w:t xml:space="preserve">Правил складання та подання звітності </w:t>
      </w:r>
    </w:p>
    <w:p w:rsidR="00C1618D" w:rsidRPr="00D353F3" w:rsidRDefault="00C1618D" w:rsidP="00C1618D">
      <w:pPr>
        <w:jc w:val="center"/>
        <w:rPr>
          <w:color w:val="000000" w:themeColor="text1"/>
          <w:lang w:eastAsia="zh-CN"/>
        </w:rPr>
      </w:pPr>
      <w:r w:rsidRPr="00D353F3">
        <w:rPr>
          <w:color w:val="000000" w:themeColor="text1"/>
          <w:lang w:eastAsia="zh-CN"/>
        </w:rPr>
        <w:t xml:space="preserve">учасниками  ринку небанківських фінансових послуг </w:t>
      </w:r>
    </w:p>
    <w:p w:rsidR="00C1618D" w:rsidRPr="00D353F3" w:rsidRDefault="00C1618D" w:rsidP="00C1618D">
      <w:pPr>
        <w:jc w:val="center"/>
        <w:rPr>
          <w:color w:val="000000" w:themeColor="text1"/>
          <w:lang w:eastAsia="zh-CN"/>
        </w:rPr>
      </w:pPr>
      <w:r w:rsidRPr="00D353F3">
        <w:rPr>
          <w:color w:val="000000" w:themeColor="text1"/>
          <w:lang w:eastAsia="zh-CN"/>
        </w:rPr>
        <w:t>до Національного банку України</w:t>
      </w:r>
    </w:p>
    <w:p w:rsidR="00E97A59" w:rsidRPr="00C1618D" w:rsidRDefault="00E97A59" w:rsidP="00EA4D14">
      <w:pPr>
        <w:ind w:firstLine="5954"/>
        <w:jc w:val="left"/>
      </w:pPr>
    </w:p>
    <w:p w:rsidR="00C1618D" w:rsidRDefault="00C1618D" w:rsidP="00C1618D">
      <w:pPr>
        <w:pStyle w:val="af3"/>
        <w:numPr>
          <w:ilvl w:val="0"/>
          <w:numId w:val="10"/>
        </w:numPr>
        <w:ind w:left="993" w:hanging="426"/>
        <w:rPr>
          <w:color w:val="000000" w:themeColor="text1"/>
        </w:rPr>
      </w:pPr>
      <w:r w:rsidRPr="009A2CB7">
        <w:rPr>
          <w:color w:val="000000" w:themeColor="text1"/>
        </w:rPr>
        <w:t xml:space="preserve">У </w:t>
      </w:r>
      <w:r>
        <w:rPr>
          <w:color w:val="000000" w:themeColor="text1"/>
        </w:rPr>
        <w:t xml:space="preserve">колонці 3 </w:t>
      </w:r>
      <w:r w:rsidRPr="009A2CB7">
        <w:rPr>
          <w:color w:val="000000" w:themeColor="text1"/>
        </w:rPr>
        <w:t>таблиці додатка 1:</w:t>
      </w:r>
    </w:p>
    <w:p w:rsidR="00C1618D" w:rsidRPr="00C1618D" w:rsidRDefault="00C1618D" w:rsidP="00C1618D">
      <w:pPr>
        <w:pStyle w:val="af3"/>
        <w:ind w:left="993"/>
        <w:rPr>
          <w:color w:val="000000" w:themeColor="text1"/>
        </w:rPr>
      </w:pPr>
    </w:p>
    <w:p w:rsidR="00691915" w:rsidRPr="00835CC1" w:rsidRDefault="00691915" w:rsidP="00C1618D">
      <w:pPr>
        <w:pStyle w:val="af3"/>
        <w:numPr>
          <w:ilvl w:val="0"/>
          <w:numId w:val="4"/>
        </w:numPr>
        <w:tabs>
          <w:tab w:val="left" w:pos="993"/>
        </w:tabs>
        <w:ind w:left="0" w:firstLine="567"/>
        <w:contextualSpacing w:val="0"/>
        <w:rPr>
          <w:rFonts w:eastAsiaTheme="minorEastAsia"/>
          <w:noProof/>
          <w:color w:val="000000" w:themeColor="text1"/>
          <w:lang w:eastAsia="en-US"/>
        </w:rPr>
      </w:pPr>
      <w:r>
        <w:rPr>
          <w:color w:val="000000" w:themeColor="text1"/>
        </w:rPr>
        <w:t xml:space="preserve">рядок 700 </w:t>
      </w:r>
      <w:r w:rsidRPr="007961B3">
        <w:t>викласти в такій редакції:</w:t>
      </w:r>
    </w:p>
    <w:p w:rsidR="00691915" w:rsidRDefault="00691915" w:rsidP="00691915">
      <w:pPr>
        <w:pStyle w:val="af3"/>
        <w:ind w:left="567"/>
        <w:contextualSpacing w:val="0"/>
      </w:pPr>
      <w:r w:rsidRPr="00B34544">
        <w:t>“</w:t>
      </w:r>
      <w:r w:rsidRPr="00B34544">
        <w:rPr>
          <w:color w:val="000000" w:themeColor="text1"/>
        </w:rPr>
        <w:t>Зобов’язання за вкладами (депозитами) членів кредитної спілки</w:t>
      </w:r>
      <w:r>
        <w:t>”;</w:t>
      </w:r>
    </w:p>
    <w:p w:rsidR="00C1618D" w:rsidRPr="000B4B98" w:rsidRDefault="00C1618D" w:rsidP="00691915">
      <w:pPr>
        <w:pStyle w:val="af3"/>
        <w:ind w:left="567"/>
        <w:contextualSpacing w:val="0"/>
        <w:rPr>
          <w:lang w:val="ru-RU"/>
        </w:rPr>
      </w:pPr>
    </w:p>
    <w:p w:rsidR="00691915" w:rsidRDefault="00691915" w:rsidP="002217CE">
      <w:pPr>
        <w:pStyle w:val="af3"/>
        <w:numPr>
          <w:ilvl w:val="0"/>
          <w:numId w:val="4"/>
        </w:numPr>
        <w:tabs>
          <w:tab w:val="left" w:pos="993"/>
        </w:tabs>
        <w:spacing w:before="240" w:after="240"/>
        <w:ind w:left="0" w:firstLine="567"/>
      </w:pPr>
      <w:r>
        <w:rPr>
          <w:color w:val="000000" w:themeColor="text1"/>
        </w:rPr>
        <w:t xml:space="preserve">рядок </w:t>
      </w:r>
      <w:r w:rsidRPr="00D353F3">
        <w:rPr>
          <w:color w:val="000000" w:themeColor="text1"/>
        </w:rPr>
        <w:t>701</w:t>
      </w:r>
      <w:r>
        <w:rPr>
          <w:color w:val="000000" w:themeColor="text1"/>
        </w:rPr>
        <w:t xml:space="preserve"> </w:t>
      </w:r>
      <w:r w:rsidRPr="007961B3">
        <w:t>викласти в такій редакції:</w:t>
      </w:r>
    </w:p>
    <w:p w:rsidR="00691915" w:rsidRPr="001109A8" w:rsidRDefault="00691915" w:rsidP="00691915">
      <w:pPr>
        <w:pStyle w:val="af3"/>
        <w:ind w:left="0" w:firstLine="567"/>
        <w:contextualSpacing w:val="0"/>
      </w:pPr>
      <w:r w:rsidRPr="00B34544">
        <w:t>“</w:t>
      </w:r>
      <w:r w:rsidRPr="001109A8">
        <w:rPr>
          <w:color w:val="000000" w:themeColor="text1"/>
        </w:rPr>
        <w:t>Зобов’язання за процентами, нарахованими за вкладами (депозитами) членів кредитної спілки</w:t>
      </w:r>
      <w:r w:rsidR="008419AC">
        <w:t>”.</w:t>
      </w:r>
    </w:p>
    <w:p w:rsidR="00691915" w:rsidRPr="001109A8" w:rsidRDefault="00691915" w:rsidP="00691915">
      <w:pPr>
        <w:pStyle w:val="af3"/>
        <w:spacing w:before="240" w:after="240"/>
        <w:ind w:left="567"/>
        <w:rPr>
          <w:rFonts w:eastAsiaTheme="minorEastAsia"/>
          <w:noProof/>
          <w:color w:val="000000" w:themeColor="text1"/>
          <w:lang w:eastAsia="en-US"/>
        </w:rPr>
      </w:pPr>
    </w:p>
    <w:p w:rsidR="00691915" w:rsidRDefault="00F80880" w:rsidP="00F80880">
      <w:pPr>
        <w:pStyle w:val="af3"/>
        <w:numPr>
          <w:ilvl w:val="0"/>
          <w:numId w:val="10"/>
        </w:numPr>
        <w:ind w:left="993" w:hanging="426"/>
        <w:rPr>
          <w:color w:val="000000" w:themeColor="text1"/>
        </w:rPr>
      </w:pPr>
      <w:r>
        <w:rPr>
          <w:color w:val="000000" w:themeColor="text1"/>
        </w:rPr>
        <w:t>У</w:t>
      </w:r>
      <w:r w:rsidR="00691915" w:rsidRPr="00691915">
        <w:rPr>
          <w:color w:val="000000" w:themeColor="text1"/>
        </w:rPr>
        <w:t xml:space="preserve"> додатку 5:</w:t>
      </w:r>
    </w:p>
    <w:p w:rsidR="002217CE" w:rsidRPr="00691915" w:rsidRDefault="002217CE" w:rsidP="002217CE">
      <w:pPr>
        <w:pStyle w:val="af3"/>
        <w:ind w:left="1134"/>
        <w:rPr>
          <w:color w:val="000000" w:themeColor="text1"/>
        </w:rPr>
      </w:pPr>
    </w:p>
    <w:p w:rsidR="00691915" w:rsidRPr="002217CE" w:rsidRDefault="00691915" w:rsidP="002217CE">
      <w:pPr>
        <w:pStyle w:val="af3"/>
        <w:numPr>
          <w:ilvl w:val="0"/>
          <w:numId w:val="11"/>
        </w:numPr>
        <w:tabs>
          <w:tab w:val="left" w:pos="851"/>
        </w:tabs>
        <w:ind w:left="0" w:firstLine="567"/>
        <w:rPr>
          <w:color w:val="000000" w:themeColor="text1"/>
        </w:rPr>
      </w:pPr>
      <w:r w:rsidRPr="002217CE">
        <w:rPr>
          <w:color w:val="000000" w:themeColor="text1"/>
        </w:rPr>
        <w:t>у таблиці 3:</w:t>
      </w:r>
    </w:p>
    <w:p w:rsidR="00691915" w:rsidRPr="001109A8" w:rsidRDefault="00691915" w:rsidP="00691915">
      <w:pPr>
        <w:pStyle w:val="af3"/>
        <w:tabs>
          <w:tab w:val="left" w:pos="993"/>
        </w:tabs>
        <w:ind w:left="567"/>
        <w:rPr>
          <w:color w:val="000000" w:themeColor="text1"/>
        </w:rPr>
      </w:pPr>
      <w:r w:rsidRPr="001109A8">
        <w:rPr>
          <w:color w:val="000000" w:themeColor="text1"/>
        </w:rPr>
        <w:t xml:space="preserve">у </w:t>
      </w:r>
      <w:proofErr w:type="spellStart"/>
      <w:r w:rsidRPr="001109A8">
        <w:rPr>
          <w:color w:val="000000" w:themeColor="text1"/>
        </w:rPr>
        <w:t>рядк</w:t>
      </w:r>
      <w:proofErr w:type="spellEnd"/>
      <w:r w:rsidRPr="001109A8">
        <w:rPr>
          <w:color w:val="000000" w:themeColor="text1"/>
          <w:lang w:val="ru-RU"/>
        </w:rPr>
        <w:t>ах</w:t>
      </w:r>
      <w:r w:rsidRPr="001109A8">
        <w:rPr>
          <w:color w:val="000000" w:themeColor="text1"/>
        </w:rPr>
        <w:t xml:space="preserve"> 5–9:</w:t>
      </w:r>
    </w:p>
    <w:p w:rsidR="00691915" w:rsidRPr="001109A8" w:rsidRDefault="00691915" w:rsidP="00691915">
      <w:pPr>
        <w:pStyle w:val="af3"/>
        <w:tabs>
          <w:tab w:val="left" w:pos="993"/>
        </w:tabs>
        <w:ind w:left="567"/>
        <w:rPr>
          <w:color w:val="000000" w:themeColor="text1"/>
        </w:rPr>
      </w:pPr>
      <w:r w:rsidRPr="001109A8">
        <w:rPr>
          <w:color w:val="000000" w:themeColor="text1"/>
        </w:rPr>
        <w:t>колонки 4 слово “Квартальна” замінити словом “Місячна”;</w:t>
      </w:r>
    </w:p>
    <w:p w:rsidR="00691915" w:rsidRPr="001109A8" w:rsidRDefault="00691915" w:rsidP="00691915">
      <w:pPr>
        <w:tabs>
          <w:tab w:val="left" w:pos="567"/>
        </w:tabs>
        <w:ind w:firstLine="567"/>
        <w:rPr>
          <w:color w:val="000000" w:themeColor="text1"/>
        </w:rPr>
      </w:pPr>
      <w:r w:rsidRPr="001109A8">
        <w:rPr>
          <w:color w:val="000000" w:themeColor="text1"/>
        </w:rPr>
        <w:t xml:space="preserve">колонку </w:t>
      </w:r>
      <w:r w:rsidRPr="001109A8">
        <w:rPr>
          <w:color w:val="000000" w:themeColor="text1"/>
          <w:lang w:val="ru-RU"/>
        </w:rPr>
        <w:t>5</w:t>
      </w:r>
      <w:r w:rsidRPr="001109A8">
        <w:rPr>
          <w:color w:val="000000" w:themeColor="text1"/>
        </w:rPr>
        <w:t xml:space="preserve"> викласти в такій редакції:</w:t>
      </w:r>
    </w:p>
    <w:p w:rsidR="00691915" w:rsidRPr="001109A8" w:rsidRDefault="00691915" w:rsidP="00691915">
      <w:pPr>
        <w:pStyle w:val="af3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color w:val="000000" w:themeColor="text1"/>
        </w:rPr>
      </w:pPr>
      <w:r w:rsidRPr="001109A8">
        <w:rPr>
          <w:color w:val="000000" w:themeColor="text1"/>
        </w:rPr>
        <w:t>“Не пізніше 15 числа місяця, наступного за звітним”;</w:t>
      </w:r>
    </w:p>
    <w:p w:rsidR="00691915" w:rsidRPr="001109A8" w:rsidRDefault="00691915" w:rsidP="00691915">
      <w:pPr>
        <w:pStyle w:val="af3"/>
        <w:tabs>
          <w:tab w:val="left" w:pos="993"/>
        </w:tabs>
        <w:ind w:left="567"/>
        <w:rPr>
          <w:color w:val="000000" w:themeColor="text1"/>
        </w:rPr>
      </w:pPr>
      <w:r w:rsidRPr="001109A8">
        <w:rPr>
          <w:color w:val="000000" w:themeColor="text1"/>
        </w:rPr>
        <w:t xml:space="preserve">у </w:t>
      </w:r>
      <w:proofErr w:type="spellStart"/>
      <w:r w:rsidRPr="001109A8">
        <w:rPr>
          <w:color w:val="000000" w:themeColor="text1"/>
        </w:rPr>
        <w:t>рядк</w:t>
      </w:r>
      <w:proofErr w:type="spellEnd"/>
      <w:r w:rsidRPr="001109A8">
        <w:rPr>
          <w:color w:val="000000" w:themeColor="text1"/>
          <w:lang w:val="ru-RU"/>
        </w:rPr>
        <w:t>ах</w:t>
      </w:r>
      <w:r w:rsidRPr="001109A8">
        <w:rPr>
          <w:color w:val="000000" w:themeColor="text1"/>
        </w:rPr>
        <w:t xml:space="preserve"> 10–16:</w:t>
      </w:r>
    </w:p>
    <w:p w:rsidR="00691915" w:rsidRPr="001109A8" w:rsidRDefault="00691915" w:rsidP="00691915">
      <w:pPr>
        <w:tabs>
          <w:tab w:val="left" w:pos="993"/>
        </w:tabs>
        <w:ind w:firstLine="567"/>
        <w:rPr>
          <w:color w:val="000000" w:themeColor="text1"/>
        </w:rPr>
      </w:pPr>
      <w:r w:rsidRPr="001109A8">
        <w:rPr>
          <w:color w:val="000000" w:themeColor="text1"/>
        </w:rPr>
        <w:t xml:space="preserve">колонки </w:t>
      </w:r>
      <w:r w:rsidRPr="001109A8">
        <w:rPr>
          <w:color w:val="000000" w:themeColor="text1"/>
          <w:lang w:val="ru-RU"/>
        </w:rPr>
        <w:t>4</w:t>
      </w:r>
      <w:r w:rsidRPr="001109A8">
        <w:rPr>
          <w:color w:val="000000" w:themeColor="text1"/>
        </w:rPr>
        <w:t xml:space="preserve"> слово “Квартальна” замінити словом “Місячна”;</w:t>
      </w:r>
    </w:p>
    <w:p w:rsidR="00691915" w:rsidRPr="001109A8" w:rsidRDefault="00691915" w:rsidP="00691915">
      <w:pPr>
        <w:tabs>
          <w:tab w:val="left" w:pos="567"/>
        </w:tabs>
        <w:ind w:firstLine="567"/>
        <w:rPr>
          <w:color w:val="000000" w:themeColor="text1"/>
        </w:rPr>
      </w:pPr>
      <w:r w:rsidRPr="001109A8">
        <w:rPr>
          <w:color w:val="000000" w:themeColor="text1"/>
        </w:rPr>
        <w:t xml:space="preserve">колонку </w:t>
      </w:r>
      <w:r w:rsidRPr="001109A8">
        <w:rPr>
          <w:color w:val="000000" w:themeColor="text1"/>
          <w:lang w:val="ru-RU"/>
        </w:rPr>
        <w:t>5</w:t>
      </w:r>
      <w:r w:rsidRPr="001109A8">
        <w:rPr>
          <w:color w:val="000000" w:themeColor="text1"/>
        </w:rPr>
        <w:t xml:space="preserve"> викласти в такій редакції:</w:t>
      </w:r>
    </w:p>
    <w:p w:rsidR="00691915" w:rsidRDefault="00691915" w:rsidP="00691915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color w:val="000000" w:themeColor="text1"/>
        </w:rPr>
      </w:pPr>
      <w:r w:rsidRPr="001109A8">
        <w:rPr>
          <w:color w:val="000000" w:themeColor="text1"/>
        </w:rPr>
        <w:t>“Не пізніше 15 числа місяця, наступного за звітним”;</w:t>
      </w:r>
    </w:p>
    <w:p w:rsidR="002217CE" w:rsidRPr="001109A8" w:rsidRDefault="002217CE" w:rsidP="00691915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color w:val="000000" w:themeColor="text1"/>
        </w:rPr>
      </w:pPr>
    </w:p>
    <w:p w:rsidR="00691915" w:rsidRPr="0020433A" w:rsidRDefault="00691915" w:rsidP="00691915">
      <w:pPr>
        <w:ind w:firstLine="567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Pr="0020433A">
        <w:rPr>
          <w:color w:val="000000" w:themeColor="text1"/>
        </w:rPr>
        <w:t>у таблиці 4:</w:t>
      </w:r>
    </w:p>
    <w:p w:rsidR="00691915" w:rsidRPr="001109A8" w:rsidRDefault="00691915" w:rsidP="00691915">
      <w:pPr>
        <w:tabs>
          <w:tab w:val="left" w:pos="567"/>
          <w:tab w:val="left" w:pos="993"/>
        </w:tabs>
        <w:ind w:firstLine="567"/>
        <w:rPr>
          <w:color w:val="000000" w:themeColor="text1"/>
        </w:rPr>
      </w:pPr>
      <w:r w:rsidRPr="001109A8">
        <w:rPr>
          <w:color w:val="000000" w:themeColor="text1"/>
        </w:rPr>
        <w:t xml:space="preserve">у </w:t>
      </w:r>
      <w:proofErr w:type="spellStart"/>
      <w:r w:rsidRPr="001109A8">
        <w:rPr>
          <w:color w:val="000000" w:themeColor="text1"/>
        </w:rPr>
        <w:t>рядк</w:t>
      </w:r>
      <w:proofErr w:type="spellEnd"/>
      <w:r w:rsidRPr="001109A8">
        <w:rPr>
          <w:color w:val="000000" w:themeColor="text1"/>
          <w:lang w:val="ru-RU"/>
        </w:rPr>
        <w:t>ах</w:t>
      </w:r>
      <w:r w:rsidRPr="001109A8">
        <w:rPr>
          <w:color w:val="000000" w:themeColor="text1"/>
        </w:rPr>
        <w:t xml:space="preserve"> 5–9:</w:t>
      </w:r>
    </w:p>
    <w:p w:rsidR="00691915" w:rsidRPr="001109A8" w:rsidRDefault="00691915" w:rsidP="00691915">
      <w:pPr>
        <w:pStyle w:val="af3"/>
        <w:tabs>
          <w:tab w:val="left" w:pos="567"/>
          <w:tab w:val="left" w:pos="993"/>
        </w:tabs>
        <w:ind w:left="567"/>
        <w:rPr>
          <w:color w:val="000000" w:themeColor="text1"/>
        </w:rPr>
      </w:pPr>
      <w:r w:rsidRPr="001109A8">
        <w:rPr>
          <w:color w:val="000000" w:themeColor="text1"/>
        </w:rPr>
        <w:t xml:space="preserve">колонки </w:t>
      </w:r>
      <w:r w:rsidRPr="001109A8">
        <w:rPr>
          <w:color w:val="000000" w:themeColor="text1"/>
          <w:lang w:val="ru-RU"/>
        </w:rPr>
        <w:t>4</w:t>
      </w:r>
      <w:r w:rsidRPr="001109A8">
        <w:rPr>
          <w:color w:val="000000" w:themeColor="text1"/>
        </w:rPr>
        <w:t xml:space="preserve"> слово “Квартальна” замінити словом “Місячна”;</w:t>
      </w:r>
    </w:p>
    <w:p w:rsidR="00691915" w:rsidRPr="001109A8" w:rsidRDefault="00691915" w:rsidP="00691915">
      <w:pPr>
        <w:tabs>
          <w:tab w:val="left" w:pos="567"/>
        </w:tabs>
        <w:ind w:firstLine="426"/>
        <w:rPr>
          <w:color w:val="000000" w:themeColor="text1"/>
        </w:rPr>
      </w:pPr>
      <w:r w:rsidRPr="001109A8">
        <w:rPr>
          <w:color w:val="000000" w:themeColor="text1"/>
        </w:rPr>
        <w:tab/>
        <w:t xml:space="preserve">колонку </w:t>
      </w:r>
      <w:r w:rsidRPr="001109A8">
        <w:rPr>
          <w:color w:val="000000" w:themeColor="text1"/>
          <w:lang w:val="ru-RU"/>
        </w:rPr>
        <w:t>5</w:t>
      </w:r>
      <w:r w:rsidRPr="001109A8">
        <w:rPr>
          <w:color w:val="000000" w:themeColor="text1"/>
        </w:rPr>
        <w:t xml:space="preserve"> викласти в такій редакції:</w:t>
      </w:r>
    </w:p>
    <w:p w:rsidR="00691915" w:rsidRPr="001109A8" w:rsidRDefault="00691915" w:rsidP="00691915">
      <w:pPr>
        <w:pStyle w:val="af3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color w:val="000000" w:themeColor="text1"/>
        </w:rPr>
      </w:pPr>
      <w:r w:rsidRPr="001109A8">
        <w:rPr>
          <w:color w:val="000000" w:themeColor="text1"/>
        </w:rPr>
        <w:t xml:space="preserve">“Не пізніше 15 числа місяця, </w:t>
      </w:r>
      <w:r>
        <w:rPr>
          <w:color w:val="000000" w:themeColor="text1"/>
        </w:rPr>
        <w:t>наступного за звітним”;</w:t>
      </w:r>
    </w:p>
    <w:p w:rsidR="00691915" w:rsidRPr="001109A8" w:rsidRDefault="00691915" w:rsidP="00691915">
      <w:pPr>
        <w:tabs>
          <w:tab w:val="left" w:pos="993"/>
        </w:tabs>
        <w:ind w:firstLine="567"/>
        <w:rPr>
          <w:color w:val="000000" w:themeColor="text1"/>
        </w:rPr>
      </w:pPr>
      <w:r w:rsidRPr="001109A8">
        <w:rPr>
          <w:color w:val="000000" w:themeColor="text1"/>
        </w:rPr>
        <w:t xml:space="preserve">у </w:t>
      </w:r>
      <w:proofErr w:type="spellStart"/>
      <w:r w:rsidRPr="001109A8">
        <w:rPr>
          <w:color w:val="000000" w:themeColor="text1"/>
        </w:rPr>
        <w:t>рядк</w:t>
      </w:r>
      <w:proofErr w:type="spellEnd"/>
      <w:r w:rsidRPr="001109A8">
        <w:rPr>
          <w:color w:val="000000" w:themeColor="text1"/>
          <w:lang w:val="ru-RU"/>
        </w:rPr>
        <w:t>ах</w:t>
      </w:r>
      <w:r w:rsidRPr="001109A8">
        <w:rPr>
          <w:color w:val="000000" w:themeColor="text1"/>
        </w:rPr>
        <w:t xml:space="preserve"> 10, 11:</w:t>
      </w:r>
    </w:p>
    <w:p w:rsidR="00691915" w:rsidRPr="001109A8" w:rsidRDefault="00691915" w:rsidP="00691915">
      <w:pPr>
        <w:tabs>
          <w:tab w:val="left" w:pos="993"/>
        </w:tabs>
        <w:ind w:firstLine="567"/>
        <w:rPr>
          <w:color w:val="000000" w:themeColor="text1"/>
        </w:rPr>
      </w:pPr>
      <w:r w:rsidRPr="001109A8">
        <w:rPr>
          <w:color w:val="000000" w:themeColor="text1"/>
        </w:rPr>
        <w:t xml:space="preserve">колонки </w:t>
      </w:r>
      <w:r w:rsidRPr="001109A8">
        <w:rPr>
          <w:color w:val="000000" w:themeColor="text1"/>
          <w:lang w:val="ru-RU"/>
        </w:rPr>
        <w:t>4</w:t>
      </w:r>
      <w:r w:rsidRPr="001109A8">
        <w:rPr>
          <w:color w:val="000000" w:themeColor="text1"/>
        </w:rPr>
        <w:t xml:space="preserve"> слово “Квартальна” замінити словом “Місячна”;</w:t>
      </w:r>
    </w:p>
    <w:p w:rsidR="00691915" w:rsidRPr="001109A8" w:rsidRDefault="00691915" w:rsidP="00691915">
      <w:pPr>
        <w:tabs>
          <w:tab w:val="left" w:pos="567"/>
        </w:tabs>
        <w:ind w:firstLine="567"/>
        <w:rPr>
          <w:color w:val="000000" w:themeColor="text1"/>
        </w:rPr>
      </w:pPr>
      <w:r w:rsidRPr="001109A8">
        <w:rPr>
          <w:color w:val="000000" w:themeColor="text1"/>
        </w:rPr>
        <w:t xml:space="preserve">колонку </w:t>
      </w:r>
      <w:r w:rsidRPr="001109A8">
        <w:rPr>
          <w:color w:val="000000" w:themeColor="text1"/>
          <w:lang w:val="ru-RU"/>
        </w:rPr>
        <w:t>5</w:t>
      </w:r>
      <w:r w:rsidRPr="001109A8">
        <w:rPr>
          <w:color w:val="000000" w:themeColor="text1"/>
        </w:rPr>
        <w:t xml:space="preserve"> викласти в такій редакції:</w:t>
      </w:r>
    </w:p>
    <w:p w:rsidR="00691915" w:rsidRPr="001109A8" w:rsidRDefault="00691915" w:rsidP="00691915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color w:val="000000" w:themeColor="text1"/>
        </w:rPr>
      </w:pPr>
      <w:r w:rsidRPr="001109A8">
        <w:rPr>
          <w:color w:val="000000" w:themeColor="text1"/>
        </w:rPr>
        <w:t>“Не пізніше 15 числа місяця, наступного за звітним”.</w:t>
      </w:r>
    </w:p>
    <w:p w:rsidR="00691915" w:rsidRPr="00691915" w:rsidRDefault="00691915" w:rsidP="00EA4D14">
      <w:pPr>
        <w:ind w:firstLine="5954"/>
        <w:jc w:val="left"/>
      </w:pPr>
    </w:p>
    <w:sectPr w:rsidR="00691915" w:rsidRPr="00691915" w:rsidSect="00B930E3">
      <w:headerReference w:type="first" r:id="rId20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1E" w:rsidRDefault="0006521E" w:rsidP="00E53CCD">
      <w:r>
        <w:separator/>
      </w:r>
    </w:p>
  </w:endnote>
  <w:endnote w:type="continuationSeparator" w:id="0">
    <w:p w:rsidR="0006521E" w:rsidRDefault="0006521E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2" w:rsidRDefault="009B15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2" w:rsidRDefault="009B156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2" w:rsidRDefault="009B15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1E" w:rsidRDefault="0006521E" w:rsidP="00E53CCD">
      <w:r>
        <w:separator/>
      </w:r>
    </w:p>
  </w:footnote>
  <w:footnote w:type="continuationSeparator" w:id="0">
    <w:p w:rsidR="0006521E" w:rsidRDefault="0006521E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2" w:rsidRDefault="009B15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265907"/>
      <w:docPartObj>
        <w:docPartGallery w:val="Page Numbers (Top of Page)"/>
        <w:docPartUnique/>
      </w:docPartObj>
    </w:sdtPr>
    <w:sdtEndPr/>
    <w:sdtContent>
      <w:p w:rsidR="000B4B98" w:rsidRDefault="000B4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18D">
          <w:rPr>
            <w:noProof/>
          </w:rPr>
          <w:t>2</w:t>
        </w:r>
        <w:r>
          <w:fldChar w:fldCharType="end"/>
        </w:r>
      </w:p>
    </w:sdtContent>
  </w:sdt>
  <w:p w:rsidR="000B4B98" w:rsidRDefault="000B4B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76" w:rsidRDefault="00A32276" w:rsidP="00A32276">
    <w:pPr>
      <w:pStyle w:val="a5"/>
      <w:jc w:val="right"/>
    </w:pPr>
    <w:r>
      <w:t>ПРОЄКТ</w:t>
    </w:r>
  </w:p>
  <w:p w:rsidR="00A32276" w:rsidRDefault="00A3227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2" w:rsidRDefault="009B1562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7158"/>
    <w:multiLevelType w:val="hybridMultilevel"/>
    <w:tmpl w:val="C008A41C"/>
    <w:lvl w:ilvl="0" w:tplc="4C085FF2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000000" w:themeColor="text1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1" w15:restartNumberingAfterBreak="0">
    <w:nsid w:val="15E0795E"/>
    <w:multiLevelType w:val="hybridMultilevel"/>
    <w:tmpl w:val="E65021D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4118BB"/>
    <w:multiLevelType w:val="hybridMultilevel"/>
    <w:tmpl w:val="79B450F8"/>
    <w:lvl w:ilvl="0" w:tplc="B5E6E2F6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A020C5"/>
    <w:multiLevelType w:val="hybridMultilevel"/>
    <w:tmpl w:val="4CCC92E6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B910338"/>
    <w:multiLevelType w:val="hybridMultilevel"/>
    <w:tmpl w:val="59AEF752"/>
    <w:lvl w:ilvl="0" w:tplc="04220011">
      <w:start w:val="1"/>
      <w:numFmt w:val="decimal"/>
      <w:lvlText w:val="%1)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1047D37"/>
    <w:multiLevelType w:val="hybridMultilevel"/>
    <w:tmpl w:val="C0203A86"/>
    <w:lvl w:ilvl="0" w:tplc="04220011">
      <w:start w:val="1"/>
      <w:numFmt w:val="decimal"/>
      <w:lvlText w:val="%1)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447908F6"/>
    <w:multiLevelType w:val="hybridMultilevel"/>
    <w:tmpl w:val="E9CCBAEC"/>
    <w:lvl w:ilvl="0" w:tplc="04220011">
      <w:start w:val="1"/>
      <w:numFmt w:val="decimal"/>
      <w:lvlText w:val="%1)"/>
      <w:lvlJc w:val="left"/>
      <w:pPr>
        <w:ind w:left="2367" w:hanging="360"/>
      </w:pPr>
    </w:lvl>
    <w:lvl w:ilvl="1" w:tplc="04220019" w:tentative="1">
      <w:start w:val="1"/>
      <w:numFmt w:val="lowerLetter"/>
      <w:lvlText w:val="%2."/>
      <w:lvlJc w:val="left"/>
      <w:pPr>
        <w:ind w:left="3087" w:hanging="360"/>
      </w:pPr>
    </w:lvl>
    <w:lvl w:ilvl="2" w:tplc="0422001B" w:tentative="1">
      <w:start w:val="1"/>
      <w:numFmt w:val="lowerRoman"/>
      <w:lvlText w:val="%3."/>
      <w:lvlJc w:val="right"/>
      <w:pPr>
        <w:ind w:left="3807" w:hanging="180"/>
      </w:pPr>
    </w:lvl>
    <w:lvl w:ilvl="3" w:tplc="0422000F" w:tentative="1">
      <w:start w:val="1"/>
      <w:numFmt w:val="decimal"/>
      <w:lvlText w:val="%4."/>
      <w:lvlJc w:val="left"/>
      <w:pPr>
        <w:ind w:left="4527" w:hanging="360"/>
      </w:pPr>
    </w:lvl>
    <w:lvl w:ilvl="4" w:tplc="04220019" w:tentative="1">
      <w:start w:val="1"/>
      <w:numFmt w:val="lowerLetter"/>
      <w:lvlText w:val="%5."/>
      <w:lvlJc w:val="left"/>
      <w:pPr>
        <w:ind w:left="5247" w:hanging="360"/>
      </w:pPr>
    </w:lvl>
    <w:lvl w:ilvl="5" w:tplc="0422001B" w:tentative="1">
      <w:start w:val="1"/>
      <w:numFmt w:val="lowerRoman"/>
      <w:lvlText w:val="%6."/>
      <w:lvlJc w:val="right"/>
      <w:pPr>
        <w:ind w:left="5967" w:hanging="180"/>
      </w:pPr>
    </w:lvl>
    <w:lvl w:ilvl="6" w:tplc="0422000F" w:tentative="1">
      <w:start w:val="1"/>
      <w:numFmt w:val="decimal"/>
      <w:lvlText w:val="%7."/>
      <w:lvlJc w:val="left"/>
      <w:pPr>
        <w:ind w:left="6687" w:hanging="360"/>
      </w:pPr>
    </w:lvl>
    <w:lvl w:ilvl="7" w:tplc="04220019" w:tentative="1">
      <w:start w:val="1"/>
      <w:numFmt w:val="lowerLetter"/>
      <w:lvlText w:val="%8."/>
      <w:lvlJc w:val="left"/>
      <w:pPr>
        <w:ind w:left="7407" w:hanging="360"/>
      </w:pPr>
    </w:lvl>
    <w:lvl w:ilvl="8" w:tplc="0422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505F0A72"/>
    <w:multiLevelType w:val="hybridMultilevel"/>
    <w:tmpl w:val="E7344AA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501DA"/>
    <w:multiLevelType w:val="hybridMultilevel"/>
    <w:tmpl w:val="15908DC2"/>
    <w:lvl w:ilvl="0" w:tplc="836E721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6B2D6D1A"/>
    <w:multiLevelType w:val="hybridMultilevel"/>
    <w:tmpl w:val="23A26F7E"/>
    <w:lvl w:ilvl="0" w:tplc="5C92C32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7F565550"/>
    <w:multiLevelType w:val="hybridMultilevel"/>
    <w:tmpl w:val="5324F684"/>
    <w:lvl w:ilvl="0" w:tplc="2EC6E45C">
      <w:start w:val="1"/>
      <w:numFmt w:val="decimal"/>
      <w:lvlText w:val="%1)"/>
      <w:lvlJc w:val="left"/>
      <w:pPr>
        <w:ind w:left="163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84"/>
    <w:rsid w:val="0000523B"/>
    <w:rsid w:val="000064FA"/>
    <w:rsid w:val="00015FDE"/>
    <w:rsid w:val="00016403"/>
    <w:rsid w:val="000378F7"/>
    <w:rsid w:val="0003793C"/>
    <w:rsid w:val="000506D8"/>
    <w:rsid w:val="00063480"/>
    <w:rsid w:val="0006521E"/>
    <w:rsid w:val="000713E8"/>
    <w:rsid w:val="000917DE"/>
    <w:rsid w:val="00097B89"/>
    <w:rsid w:val="000B2990"/>
    <w:rsid w:val="000B3C5F"/>
    <w:rsid w:val="000B4B98"/>
    <w:rsid w:val="000B5ADB"/>
    <w:rsid w:val="000C2E7F"/>
    <w:rsid w:val="000C3F58"/>
    <w:rsid w:val="000D44E2"/>
    <w:rsid w:val="000E4B44"/>
    <w:rsid w:val="000E700F"/>
    <w:rsid w:val="00100163"/>
    <w:rsid w:val="001025EF"/>
    <w:rsid w:val="00102C1C"/>
    <w:rsid w:val="001068E6"/>
    <w:rsid w:val="00106BCE"/>
    <w:rsid w:val="001109A8"/>
    <w:rsid w:val="001652CD"/>
    <w:rsid w:val="001740C0"/>
    <w:rsid w:val="00190E1A"/>
    <w:rsid w:val="00192423"/>
    <w:rsid w:val="001A16FA"/>
    <w:rsid w:val="001A42D2"/>
    <w:rsid w:val="001D3A55"/>
    <w:rsid w:val="001D487A"/>
    <w:rsid w:val="001E05F5"/>
    <w:rsid w:val="001E2732"/>
    <w:rsid w:val="001E5DB4"/>
    <w:rsid w:val="001F591C"/>
    <w:rsid w:val="001F64D4"/>
    <w:rsid w:val="001F71E8"/>
    <w:rsid w:val="0020433A"/>
    <w:rsid w:val="00204F22"/>
    <w:rsid w:val="00207DA9"/>
    <w:rsid w:val="0021268A"/>
    <w:rsid w:val="002217CE"/>
    <w:rsid w:val="00233146"/>
    <w:rsid w:val="0023651D"/>
    <w:rsid w:val="00241373"/>
    <w:rsid w:val="002453A3"/>
    <w:rsid w:val="00253BF9"/>
    <w:rsid w:val="00257FAC"/>
    <w:rsid w:val="00264983"/>
    <w:rsid w:val="00272B80"/>
    <w:rsid w:val="002846E4"/>
    <w:rsid w:val="002A172E"/>
    <w:rsid w:val="002A7DE0"/>
    <w:rsid w:val="002C677D"/>
    <w:rsid w:val="002C7B4D"/>
    <w:rsid w:val="002D171B"/>
    <w:rsid w:val="002D1790"/>
    <w:rsid w:val="002D5205"/>
    <w:rsid w:val="002D52F9"/>
    <w:rsid w:val="002E023A"/>
    <w:rsid w:val="002F33F0"/>
    <w:rsid w:val="002F660B"/>
    <w:rsid w:val="0031386A"/>
    <w:rsid w:val="0033133D"/>
    <w:rsid w:val="00356E34"/>
    <w:rsid w:val="00357676"/>
    <w:rsid w:val="00364833"/>
    <w:rsid w:val="00371783"/>
    <w:rsid w:val="0038167B"/>
    <w:rsid w:val="0038385E"/>
    <w:rsid w:val="00385D46"/>
    <w:rsid w:val="003A383B"/>
    <w:rsid w:val="003B4F96"/>
    <w:rsid w:val="003C3282"/>
    <w:rsid w:val="003C3985"/>
    <w:rsid w:val="003C421E"/>
    <w:rsid w:val="003C7337"/>
    <w:rsid w:val="003D19A3"/>
    <w:rsid w:val="003E54D5"/>
    <w:rsid w:val="003F4317"/>
    <w:rsid w:val="003F4736"/>
    <w:rsid w:val="00401EDB"/>
    <w:rsid w:val="00404C93"/>
    <w:rsid w:val="00407877"/>
    <w:rsid w:val="00410EC0"/>
    <w:rsid w:val="00410FA1"/>
    <w:rsid w:val="0041763F"/>
    <w:rsid w:val="004318B3"/>
    <w:rsid w:val="004414F7"/>
    <w:rsid w:val="00455B45"/>
    <w:rsid w:val="00472E7B"/>
    <w:rsid w:val="00484152"/>
    <w:rsid w:val="004943E8"/>
    <w:rsid w:val="00494BE0"/>
    <w:rsid w:val="004A7F75"/>
    <w:rsid w:val="004B4733"/>
    <w:rsid w:val="004D7E2E"/>
    <w:rsid w:val="004E0515"/>
    <w:rsid w:val="004E22E2"/>
    <w:rsid w:val="004F5AE4"/>
    <w:rsid w:val="004F62FC"/>
    <w:rsid w:val="00517A7E"/>
    <w:rsid w:val="00523C13"/>
    <w:rsid w:val="005257C2"/>
    <w:rsid w:val="005300C8"/>
    <w:rsid w:val="00540210"/>
    <w:rsid w:val="00542533"/>
    <w:rsid w:val="005537EC"/>
    <w:rsid w:val="005624B6"/>
    <w:rsid w:val="00563A19"/>
    <w:rsid w:val="00563AC1"/>
    <w:rsid w:val="0057237F"/>
    <w:rsid w:val="00577402"/>
    <w:rsid w:val="005911DA"/>
    <w:rsid w:val="00591298"/>
    <w:rsid w:val="005A0102"/>
    <w:rsid w:val="005A0F4B"/>
    <w:rsid w:val="005A1D3C"/>
    <w:rsid w:val="005A2BBA"/>
    <w:rsid w:val="005A3F34"/>
    <w:rsid w:val="005A6B99"/>
    <w:rsid w:val="005B2D03"/>
    <w:rsid w:val="005C5CBF"/>
    <w:rsid w:val="005D2F3D"/>
    <w:rsid w:val="005E439B"/>
    <w:rsid w:val="005F6418"/>
    <w:rsid w:val="00610F11"/>
    <w:rsid w:val="0061599B"/>
    <w:rsid w:val="0063071E"/>
    <w:rsid w:val="0063271C"/>
    <w:rsid w:val="00633BA1"/>
    <w:rsid w:val="00640612"/>
    <w:rsid w:val="00650EB8"/>
    <w:rsid w:val="00653558"/>
    <w:rsid w:val="00655864"/>
    <w:rsid w:val="006649E2"/>
    <w:rsid w:val="00670C95"/>
    <w:rsid w:val="00681460"/>
    <w:rsid w:val="00684225"/>
    <w:rsid w:val="006871CD"/>
    <w:rsid w:val="00691915"/>
    <w:rsid w:val="006A0AE1"/>
    <w:rsid w:val="006B2748"/>
    <w:rsid w:val="006B39A0"/>
    <w:rsid w:val="006C4176"/>
    <w:rsid w:val="006C66EF"/>
    <w:rsid w:val="006D2617"/>
    <w:rsid w:val="006E2386"/>
    <w:rsid w:val="006F3CFB"/>
    <w:rsid w:val="0070152E"/>
    <w:rsid w:val="00702896"/>
    <w:rsid w:val="0071789F"/>
    <w:rsid w:val="007476B2"/>
    <w:rsid w:val="007802D9"/>
    <w:rsid w:val="007808F4"/>
    <w:rsid w:val="00783AF2"/>
    <w:rsid w:val="0079324A"/>
    <w:rsid w:val="007A038B"/>
    <w:rsid w:val="007A6609"/>
    <w:rsid w:val="007E2E2F"/>
    <w:rsid w:val="007E625C"/>
    <w:rsid w:val="007F24D1"/>
    <w:rsid w:val="007F514C"/>
    <w:rsid w:val="00802988"/>
    <w:rsid w:val="008135AE"/>
    <w:rsid w:val="00834346"/>
    <w:rsid w:val="008419AC"/>
    <w:rsid w:val="00850F68"/>
    <w:rsid w:val="008555CA"/>
    <w:rsid w:val="00866993"/>
    <w:rsid w:val="00874366"/>
    <w:rsid w:val="0088204E"/>
    <w:rsid w:val="008A58E9"/>
    <w:rsid w:val="008A704D"/>
    <w:rsid w:val="008B014D"/>
    <w:rsid w:val="008B164A"/>
    <w:rsid w:val="008C2498"/>
    <w:rsid w:val="008D10FD"/>
    <w:rsid w:val="008D122F"/>
    <w:rsid w:val="00904F17"/>
    <w:rsid w:val="00961672"/>
    <w:rsid w:val="0097288F"/>
    <w:rsid w:val="00984B02"/>
    <w:rsid w:val="009943E9"/>
    <w:rsid w:val="00994CD4"/>
    <w:rsid w:val="00995A8D"/>
    <w:rsid w:val="009A4DE6"/>
    <w:rsid w:val="009B1562"/>
    <w:rsid w:val="009C717F"/>
    <w:rsid w:val="009D11CA"/>
    <w:rsid w:val="009D6D44"/>
    <w:rsid w:val="009D7C94"/>
    <w:rsid w:val="009E165B"/>
    <w:rsid w:val="009F5312"/>
    <w:rsid w:val="00A021DA"/>
    <w:rsid w:val="00A06ADB"/>
    <w:rsid w:val="00A104FB"/>
    <w:rsid w:val="00A20CCE"/>
    <w:rsid w:val="00A23E04"/>
    <w:rsid w:val="00A32276"/>
    <w:rsid w:val="00A47EF0"/>
    <w:rsid w:val="00A50DC0"/>
    <w:rsid w:val="00A51C39"/>
    <w:rsid w:val="00A708BE"/>
    <w:rsid w:val="00A72446"/>
    <w:rsid w:val="00A72F06"/>
    <w:rsid w:val="00A77FFD"/>
    <w:rsid w:val="00AA726B"/>
    <w:rsid w:val="00AB1C0F"/>
    <w:rsid w:val="00AB28F1"/>
    <w:rsid w:val="00AC4184"/>
    <w:rsid w:val="00AC47B6"/>
    <w:rsid w:val="00AE16F0"/>
    <w:rsid w:val="00AF59AC"/>
    <w:rsid w:val="00B06710"/>
    <w:rsid w:val="00B12A6F"/>
    <w:rsid w:val="00B24F71"/>
    <w:rsid w:val="00B31892"/>
    <w:rsid w:val="00B332B2"/>
    <w:rsid w:val="00B34544"/>
    <w:rsid w:val="00B5752E"/>
    <w:rsid w:val="00B616A5"/>
    <w:rsid w:val="00B66974"/>
    <w:rsid w:val="00B67B26"/>
    <w:rsid w:val="00B77FBC"/>
    <w:rsid w:val="00B85728"/>
    <w:rsid w:val="00B930E3"/>
    <w:rsid w:val="00BB44AB"/>
    <w:rsid w:val="00BC6419"/>
    <w:rsid w:val="00BE3431"/>
    <w:rsid w:val="00BE6C11"/>
    <w:rsid w:val="00BF052C"/>
    <w:rsid w:val="00C1618D"/>
    <w:rsid w:val="00C21D33"/>
    <w:rsid w:val="00C22D27"/>
    <w:rsid w:val="00C261F6"/>
    <w:rsid w:val="00C36ED6"/>
    <w:rsid w:val="00C41293"/>
    <w:rsid w:val="00C422E3"/>
    <w:rsid w:val="00C4377C"/>
    <w:rsid w:val="00C437A7"/>
    <w:rsid w:val="00C65DEC"/>
    <w:rsid w:val="00C763A3"/>
    <w:rsid w:val="00C80F5E"/>
    <w:rsid w:val="00C82259"/>
    <w:rsid w:val="00C831BC"/>
    <w:rsid w:val="00C8418C"/>
    <w:rsid w:val="00CD7381"/>
    <w:rsid w:val="00CE3B9F"/>
    <w:rsid w:val="00D0057B"/>
    <w:rsid w:val="00D11F25"/>
    <w:rsid w:val="00D27113"/>
    <w:rsid w:val="00D3084D"/>
    <w:rsid w:val="00D33A3D"/>
    <w:rsid w:val="00D34DCC"/>
    <w:rsid w:val="00D74DCE"/>
    <w:rsid w:val="00D842D0"/>
    <w:rsid w:val="00DC1E60"/>
    <w:rsid w:val="00DD106B"/>
    <w:rsid w:val="00DD60CC"/>
    <w:rsid w:val="00DD71CB"/>
    <w:rsid w:val="00E33B0E"/>
    <w:rsid w:val="00E34A3F"/>
    <w:rsid w:val="00E43E79"/>
    <w:rsid w:val="00E53CB5"/>
    <w:rsid w:val="00E53CCD"/>
    <w:rsid w:val="00E8777E"/>
    <w:rsid w:val="00E97A59"/>
    <w:rsid w:val="00EA1DE4"/>
    <w:rsid w:val="00EA3A24"/>
    <w:rsid w:val="00EA4D14"/>
    <w:rsid w:val="00ED042F"/>
    <w:rsid w:val="00ED38C8"/>
    <w:rsid w:val="00ED5EF3"/>
    <w:rsid w:val="00EE3E8A"/>
    <w:rsid w:val="00F003D3"/>
    <w:rsid w:val="00F03226"/>
    <w:rsid w:val="00F03E32"/>
    <w:rsid w:val="00F31023"/>
    <w:rsid w:val="00F332C0"/>
    <w:rsid w:val="00F42E75"/>
    <w:rsid w:val="00F52D16"/>
    <w:rsid w:val="00F63BD9"/>
    <w:rsid w:val="00F6694C"/>
    <w:rsid w:val="00F80880"/>
    <w:rsid w:val="00F872E3"/>
    <w:rsid w:val="00F96F18"/>
    <w:rsid w:val="00FA7B67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29C35F-6D96-4919-9100-1933BB2A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1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Heading Bullet,Number normal,Number Normal,text bullet,List Numbers,Elenco Normale,List Paragraph - sub title,Абзац списку1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customStyle="1" w:styleId="af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f3"/>
    <w:uiPriority w:val="34"/>
    <w:qFormat/>
    <w:locked/>
    <w:rsid w:val="000C2E7F"/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05_&#1055;&#1086;&#1089;&#1090;&#1072;&#1085;&#1086;&#1074;&#1072;%20&#1055;&#1088;&#1072;&#1074;&#1083;&#1110;&#1085;&#1085;&#1103;%20&#1053;&#1041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1574657-E0B0-43CC-8C7E-7489B18A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05_Постанова Правління НБУ</Template>
  <TotalTime>168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Бузілова Інна Миколаївна</dc:creator>
  <cp:lastModifiedBy>Бузілова Інна Миколаївна</cp:lastModifiedBy>
  <cp:revision>25</cp:revision>
  <cp:lastPrinted>2023-07-04T07:51:00Z</cp:lastPrinted>
  <dcterms:created xsi:type="dcterms:W3CDTF">2024-12-19T09:30:00Z</dcterms:created>
  <dcterms:modified xsi:type="dcterms:W3CDTF">2025-01-06T11:07:00Z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