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F4ABC" w14:textId="242B44A5" w:rsidR="00657593" w:rsidRPr="001E22EC" w:rsidRDefault="001E22EC" w:rsidP="001E22EC">
      <w:pPr>
        <w:jc w:val="right"/>
        <w:rPr>
          <w:sz w:val="24"/>
          <w:szCs w:val="24"/>
          <w:lang w:val="ru-RU"/>
        </w:rPr>
      </w:pPr>
      <w:r w:rsidRPr="001E22EC">
        <w:rPr>
          <w:sz w:val="24"/>
          <w:szCs w:val="24"/>
        </w:rPr>
        <w:t xml:space="preserve">Офіційно опубліковано </w:t>
      </w:r>
      <w:r>
        <w:rPr>
          <w:sz w:val="24"/>
          <w:szCs w:val="24"/>
        </w:rPr>
        <w:t>06.03.2022</w:t>
      </w:r>
    </w:p>
    <w:p w14:paraId="6792E98F" w14:textId="37A89D8E" w:rsidR="007F22B4" w:rsidRDefault="001E22EC" w:rsidP="007F22B4">
      <w:pPr>
        <w:ind w:left="5954"/>
        <w:jc w:val="left"/>
        <w:rPr>
          <w:rFonts w:eastAsiaTheme="minorEastAsia"/>
          <w:color w:val="000000" w:themeColor="text1"/>
          <w:sz w:val="4"/>
          <w:szCs w:val="4"/>
          <w:lang w:eastAsia="en-US"/>
        </w:rPr>
      </w:pPr>
      <w:r>
        <w:rPr>
          <w:rFonts w:eastAsiaTheme="minorEastAsia"/>
          <w:color w:val="000000" w:themeColor="text1"/>
          <w:sz w:val="4"/>
          <w:szCs w:val="4"/>
          <w:lang w:eastAsia="en-US"/>
        </w:rPr>
        <w:t>.</w:t>
      </w:r>
    </w:p>
    <w:p w14:paraId="5AB131EB" w14:textId="77777777" w:rsidR="001E22EC" w:rsidRPr="00675196" w:rsidRDefault="001E22EC" w:rsidP="007F22B4">
      <w:pPr>
        <w:ind w:left="5954"/>
        <w:jc w:val="left"/>
        <w:rPr>
          <w:rFonts w:eastAsiaTheme="minorEastAsia"/>
          <w:color w:val="000000" w:themeColor="text1"/>
          <w:sz w:val="4"/>
          <w:szCs w:val="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ED65EF" w:rsidRPr="00675196" w14:paraId="2679E449" w14:textId="77777777" w:rsidTr="00451F5E">
        <w:trPr>
          <w:trHeight w:val="851"/>
        </w:trPr>
        <w:tc>
          <w:tcPr>
            <w:tcW w:w="3284" w:type="dxa"/>
          </w:tcPr>
          <w:p w14:paraId="0A16F5EF" w14:textId="77777777" w:rsidR="00ED65EF" w:rsidRPr="00675196" w:rsidRDefault="00ED65EF" w:rsidP="00451F5E"/>
        </w:tc>
        <w:tc>
          <w:tcPr>
            <w:tcW w:w="3285" w:type="dxa"/>
            <w:vMerge w:val="restart"/>
          </w:tcPr>
          <w:p w14:paraId="2DE58347" w14:textId="77777777" w:rsidR="00ED65EF" w:rsidRPr="00675196" w:rsidRDefault="00ED65EF" w:rsidP="00451F5E">
            <w:pPr>
              <w:jc w:val="center"/>
            </w:pPr>
            <w:r w:rsidRPr="00675196">
              <w:object w:dxaOrig="1595" w:dyaOrig="2201" w14:anchorId="385DF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pt;height:48pt" o:ole="">
                  <v:imagedata r:id="rId12" o:title=""/>
                </v:shape>
                <o:OLEObject Type="Embed" ProgID="CorelDraw.Graphic.16" ShapeID="_x0000_i1025" DrawAspect="Content" ObjectID="_1708084976" r:id="rId13"/>
              </w:object>
            </w:r>
          </w:p>
        </w:tc>
        <w:tc>
          <w:tcPr>
            <w:tcW w:w="3285" w:type="dxa"/>
          </w:tcPr>
          <w:p w14:paraId="58EA1023" w14:textId="77777777" w:rsidR="00ED65EF" w:rsidRPr="00675196" w:rsidRDefault="00ED65EF" w:rsidP="00451F5E"/>
        </w:tc>
      </w:tr>
      <w:tr w:rsidR="00ED65EF" w:rsidRPr="00675196" w14:paraId="455C5898" w14:textId="77777777" w:rsidTr="00451F5E">
        <w:tc>
          <w:tcPr>
            <w:tcW w:w="3284" w:type="dxa"/>
          </w:tcPr>
          <w:p w14:paraId="2D3788A1" w14:textId="77777777" w:rsidR="00ED65EF" w:rsidRPr="00675196" w:rsidRDefault="00ED65EF" w:rsidP="00451F5E"/>
        </w:tc>
        <w:tc>
          <w:tcPr>
            <w:tcW w:w="3285" w:type="dxa"/>
            <w:vMerge/>
          </w:tcPr>
          <w:p w14:paraId="46816699" w14:textId="77777777" w:rsidR="00ED65EF" w:rsidRPr="00675196" w:rsidRDefault="00ED65EF" w:rsidP="00451F5E"/>
        </w:tc>
        <w:tc>
          <w:tcPr>
            <w:tcW w:w="3285" w:type="dxa"/>
          </w:tcPr>
          <w:p w14:paraId="6D49DAD0" w14:textId="77777777" w:rsidR="00ED65EF" w:rsidRPr="00675196" w:rsidRDefault="00ED65EF" w:rsidP="00451F5E"/>
        </w:tc>
      </w:tr>
      <w:tr w:rsidR="00ED65EF" w:rsidRPr="00675196" w14:paraId="4BC36638" w14:textId="77777777" w:rsidTr="00451F5E">
        <w:tc>
          <w:tcPr>
            <w:tcW w:w="9854" w:type="dxa"/>
            <w:gridSpan w:val="3"/>
          </w:tcPr>
          <w:p w14:paraId="02BFA2F4" w14:textId="77777777" w:rsidR="00ED65EF" w:rsidRPr="00675196" w:rsidRDefault="00ED65EF" w:rsidP="00451F5E">
            <w:pPr>
              <w:tabs>
                <w:tab w:val="left" w:pos="-3600"/>
              </w:tabs>
              <w:spacing w:before="120" w:after="120"/>
              <w:jc w:val="center"/>
              <w:rPr>
                <w:b/>
                <w:bCs/>
                <w:color w:val="006600"/>
                <w:spacing w:val="10"/>
              </w:rPr>
            </w:pPr>
            <w:r w:rsidRPr="00675196">
              <w:rPr>
                <w:b/>
                <w:bCs/>
                <w:color w:val="006600"/>
                <w:spacing w:val="10"/>
              </w:rPr>
              <w:t>Правління Національного банку України</w:t>
            </w:r>
          </w:p>
          <w:p w14:paraId="0CDB150E" w14:textId="77777777" w:rsidR="00ED65EF" w:rsidRPr="00675196" w:rsidRDefault="00ED65EF" w:rsidP="00451F5E">
            <w:pPr>
              <w:jc w:val="center"/>
            </w:pPr>
            <w:r w:rsidRPr="00675196">
              <w:rPr>
                <w:b/>
                <w:bCs/>
                <w:color w:val="006600"/>
                <w:sz w:val="32"/>
                <w:szCs w:val="32"/>
              </w:rPr>
              <w:t>П О С Т А Н О В А</w:t>
            </w:r>
          </w:p>
        </w:tc>
      </w:tr>
    </w:tbl>
    <w:p w14:paraId="223562A7" w14:textId="77777777" w:rsidR="00ED65EF" w:rsidRPr="00675196" w:rsidRDefault="00ED65EF" w:rsidP="007F22B4">
      <w:pPr>
        <w:ind w:left="5954"/>
        <w:jc w:val="left"/>
        <w:rPr>
          <w:rFonts w:eastAsiaTheme="minorEastAsia"/>
          <w:color w:val="000000" w:themeColor="text1"/>
          <w:sz w:val="4"/>
          <w:szCs w:val="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657593" w:rsidRPr="00675196" w14:paraId="5E2E9915" w14:textId="77777777" w:rsidTr="00C06A8B">
        <w:tc>
          <w:tcPr>
            <w:tcW w:w="3423" w:type="dxa"/>
            <w:vAlign w:val="bottom"/>
          </w:tcPr>
          <w:p w14:paraId="751675EF" w14:textId="00FD46C5" w:rsidR="00657593" w:rsidRPr="00675196" w:rsidRDefault="001E22EC" w:rsidP="00451F5E">
            <w:r>
              <w:t>06 березня 2022 року</w:t>
            </w:r>
          </w:p>
        </w:tc>
        <w:tc>
          <w:tcPr>
            <w:tcW w:w="2643" w:type="dxa"/>
          </w:tcPr>
          <w:p w14:paraId="79B746C9" w14:textId="77777777" w:rsidR="00657593" w:rsidRPr="00675196" w:rsidRDefault="00657593" w:rsidP="002E6C7F">
            <w:pPr>
              <w:spacing w:before="240"/>
              <w:jc w:val="center"/>
            </w:pPr>
            <w:r w:rsidRPr="00675196">
              <w:rPr>
                <w:color w:val="006600"/>
              </w:rPr>
              <w:t>Київ</w:t>
            </w:r>
          </w:p>
        </w:tc>
        <w:tc>
          <w:tcPr>
            <w:tcW w:w="1680" w:type="dxa"/>
            <w:vAlign w:val="bottom"/>
          </w:tcPr>
          <w:p w14:paraId="07237BB1" w14:textId="77777777" w:rsidR="00657593" w:rsidRPr="00675196" w:rsidRDefault="00657593" w:rsidP="00E62607">
            <w:pPr>
              <w:jc w:val="right"/>
            </w:pPr>
            <w:r w:rsidRPr="00675196">
              <w:rPr>
                <w:color w:val="FFFFFF" w:themeColor="background1"/>
              </w:rPr>
              <w:t>№</w:t>
            </w:r>
          </w:p>
        </w:tc>
        <w:tc>
          <w:tcPr>
            <w:tcW w:w="1892" w:type="dxa"/>
            <w:vAlign w:val="bottom"/>
          </w:tcPr>
          <w:p w14:paraId="774CF3B7" w14:textId="2318C5A0" w:rsidR="00657593" w:rsidRPr="00675196" w:rsidRDefault="001E22EC" w:rsidP="001E22EC">
            <w:pPr>
              <w:jc w:val="right"/>
            </w:pPr>
            <w:r>
              <w:t>№ 39</w:t>
            </w:r>
          </w:p>
        </w:tc>
      </w:tr>
    </w:tbl>
    <w:p w14:paraId="3CB3A028" w14:textId="77777777" w:rsidR="00657593" w:rsidRPr="00675196" w:rsidRDefault="00657593" w:rsidP="00657593">
      <w:pPr>
        <w:rPr>
          <w:sz w:val="2"/>
          <w:szCs w:val="2"/>
        </w:rPr>
      </w:pPr>
    </w:p>
    <w:p w14:paraId="5213FD17" w14:textId="77777777" w:rsidR="00FA2B53" w:rsidRPr="00675196" w:rsidRDefault="00FA2B53" w:rsidP="00FA2B53">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675196" w14:paraId="5315C193" w14:textId="77777777" w:rsidTr="005212C5">
        <w:trPr>
          <w:jc w:val="center"/>
        </w:trPr>
        <w:tc>
          <w:tcPr>
            <w:tcW w:w="5000" w:type="pct"/>
          </w:tcPr>
          <w:p w14:paraId="63E13E09" w14:textId="77777777" w:rsidR="002B3F71" w:rsidRPr="00D30D66" w:rsidRDefault="00705431" w:rsidP="00E52248">
            <w:pPr>
              <w:tabs>
                <w:tab w:val="left" w:pos="840"/>
                <w:tab w:val="center" w:pos="3293"/>
              </w:tabs>
              <w:spacing w:before="240" w:after="240"/>
              <w:jc w:val="center"/>
              <w:rPr>
                <w:rFonts w:eastAsiaTheme="minorEastAsia"/>
                <w:color w:val="000000" w:themeColor="text1"/>
                <w:lang w:eastAsia="en-US"/>
              </w:rPr>
            </w:pPr>
            <w:r w:rsidRPr="00E52248">
              <w:rPr>
                <w:rFonts w:eastAsia="Calibri"/>
                <w:color w:val="000000" w:themeColor="text1"/>
              </w:rPr>
              <w:t xml:space="preserve">Про </w:t>
            </w:r>
            <w:r w:rsidR="00AC6702" w:rsidRPr="00E52248">
              <w:rPr>
                <w:rFonts w:eastAsia="Calibri"/>
                <w:color w:val="000000" w:themeColor="text1"/>
              </w:rPr>
              <w:t xml:space="preserve">врегулювання діяльності </w:t>
            </w:r>
            <w:r w:rsidR="00626B72" w:rsidRPr="00E52248">
              <w:rPr>
                <w:rFonts w:eastAsia="Calibri"/>
                <w:color w:val="000000" w:themeColor="text1"/>
              </w:rPr>
              <w:t>учасників ринку небанківських фінансових послуг</w:t>
            </w:r>
            <w:r w:rsidR="00F76674" w:rsidRPr="00E52248">
              <w:rPr>
                <w:rFonts w:eastAsia="Calibri"/>
                <w:color w:val="000000" w:themeColor="text1"/>
              </w:rPr>
              <w:t>,</w:t>
            </w:r>
            <w:r w:rsidR="00B26F3D" w:rsidRPr="00E52248">
              <w:rPr>
                <w:rFonts w:eastAsia="Calibri"/>
                <w:color w:val="000000" w:themeColor="text1"/>
              </w:rPr>
              <w:t xml:space="preserve">          </w:t>
            </w:r>
            <w:r w:rsidR="00626B72" w:rsidRPr="00E52248">
              <w:rPr>
                <w:rFonts w:eastAsia="Calibri"/>
                <w:color w:val="000000" w:themeColor="text1"/>
              </w:rPr>
              <w:t>небанківських фінансових груп</w:t>
            </w:r>
            <w:r w:rsidR="00F76674" w:rsidRPr="00E52248">
              <w:rPr>
                <w:rFonts w:eastAsia="Calibri"/>
                <w:color w:val="000000" w:themeColor="text1"/>
              </w:rPr>
              <w:t>, учасників платіжного ринку, колекторських компаній та юридичних осіб, які отримали ліцензію на надання банкам послуг з інкасації</w:t>
            </w:r>
          </w:p>
        </w:tc>
      </w:tr>
    </w:tbl>
    <w:p w14:paraId="04B00A3C" w14:textId="70DAB76B" w:rsidR="005D7760" w:rsidRPr="00E52248" w:rsidRDefault="005D7760" w:rsidP="00E52248">
      <w:pPr>
        <w:spacing w:before="240" w:after="240"/>
        <w:ind w:firstLine="567"/>
        <w:rPr>
          <w:b/>
          <w:color w:val="000000" w:themeColor="text1"/>
        </w:rPr>
      </w:pPr>
      <w:r w:rsidRPr="00E52248">
        <w:rPr>
          <w:color w:val="000000" w:themeColor="text1"/>
        </w:rPr>
        <w:t>Відповідно до статей 7, 15, 55</w:t>
      </w:r>
      <w:r w:rsidRPr="00E52248">
        <w:rPr>
          <w:color w:val="000000" w:themeColor="text1"/>
          <w:vertAlign w:val="superscript"/>
        </w:rPr>
        <w:t>1</w:t>
      </w:r>
      <w:r w:rsidRPr="00E52248">
        <w:rPr>
          <w:color w:val="000000" w:themeColor="text1"/>
        </w:rPr>
        <w:t xml:space="preserve"> Закону України “Про Національний банк України”, статей 19, 21, 28 Закону України “Про фінансові послуги та державне регулювання ринків фінансових послуг”, статті 36 Закону України “Про страхування”, статті 26 Закону України “Про кредитні спілки”, </w:t>
      </w:r>
      <w:r w:rsidR="00F003E8" w:rsidRPr="00E52248">
        <w:rPr>
          <w:color w:val="000000" w:themeColor="text1"/>
        </w:rPr>
        <w:t xml:space="preserve">статей 9, 10 та 12 Закону України </w:t>
      </w:r>
      <w:r w:rsidR="00F97798" w:rsidRPr="00E52248">
        <w:rPr>
          <w:color w:val="000000" w:themeColor="text1"/>
        </w:rPr>
        <w:t>“</w:t>
      </w:r>
      <w:r w:rsidR="00F003E8" w:rsidRPr="00E52248">
        <w:rPr>
          <w:color w:val="000000" w:themeColor="text1"/>
        </w:rPr>
        <w:t>Про платіжні сист</w:t>
      </w:r>
      <w:r w:rsidR="00F97798" w:rsidRPr="00E52248">
        <w:rPr>
          <w:color w:val="000000" w:themeColor="text1"/>
        </w:rPr>
        <w:t>еми та переказ коштів в Україні”</w:t>
      </w:r>
      <w:r w:rsidR="00206E56" w:rsidRPr="00E52248">
        <w:rPr>
          <w:color w:val="000000" w:themeColor="text1"/>
        </w:rPr>
        <w:t xml:space="preserve">, </w:t>
      </w:r>
      <w:r w:rsidR="00F97798" w:rsidRPr="00E52248">
        <w:rPr>
          <w:color w:val="000000" w:themeColor="text1"/>
        </w:rPr>
        <w:t xml:space="preserve">Закону України “Про правовий режим воєнного стану”, Закону України від 24 лютого 2022 року № 2102-IX </w:t>
      </w:r>
      <w:r w:rsidR="00E032C5">
        <w:rPr>
          <w:color w:val="000000" w:themeColor="text1"/>
        </w:rPr>
        <w:t>«</w:t>
      </w:r>
      <w:r w:rsidR="00F97798" w:rsidRPr="00E52248">
        <w:rPr>
          <w:color w:val="000000" w:themeColor="text1"/>
        </w:rPr>
        <w:t>Про затвердження Указу Президента України “Про введення воєнного стану в Україні”</w:t>
      </w:r>
      <w:r w:rsidR="00E032C5">
        <w:rPr>
          <w:color w:val="000000" w:themeColor="text1"/>
        </w:rPr>
        <w:t>»</w:t>
      </w:r>
      <w:r w:rsidR="00F97798" w:rsidRPr="00E52248">
        <w:rPr>
          <w:color w:val="000000" w:themeColor="text1"/>
        </w:rPr>
        <w:t>, Указу Президента України від 24 лютого 2022 року № 64/2022 “Про введення воєнного стану в Україні”</w:t>
      </w:r>
      <w:r w:rsidR="00E032C5">
        <w:rPr>
          <w:color w:val="000000" w:themeColor="text1"/>
        </w:rPr>
        <w:t>,</w:t>
      </w:r>
      <w:r w:rsidR="00F003E8" w:rsidRPr="00E52248">
        <w:rPr>
          <w:color w:val="000000" w:themeColor="text1"/>
        </w:rPr>
        <w:t xml:space="preserve"> </w:t>
      </w:r>
      <w:r w:rsidRPr="00E52248">
        <w:rPr>
          <w:color w:val="000000" w:themeColor="text1"/>
        </w:rPr>
        <w:t>з метою забезпечення безпеки та фінансової стабільності фінансової системи</w:t>
      </w:r>
      <w:r w:rsidR="001979DE" w:rsidRPr="00E52248">
        <w:rPr>
          <w:color w:val="000000" w:themeColor="text1"/>
        </w:rPr>
        <w:t>,</w:t>
      </w:r>
      <w:r w:rsidRPr="00E52248">
        <w:rPr>
          <w:color w:val="000000" w:themeColor="text1"/>
        </w:rPr>
        <w:t xml:space="preserve"> запобігання кризовим явищам </w:t>
      </w:r>
      <w:r w:rsidR="0001132C">
        <w:rPr>
          <w:color w:val="000000" w:themeColor="text1"/>
        </w:rPr>
        <w:t>у</w:t>
      </w:r>
      <w:r w:rsidRPr="00E52248">
        <w:rPr>
          <w:color w:val="000000" w:themeColor="text1"/>
        </w:rPr>
        <w:t xml:space="preserve"> період запровадження воєнного стану</w:t>
      </w:r>
      <w:r w:rsidR="001979DE" w:rsidRPr="00E52248">
        <w:rPr>
          <w:color w:val="000000" w:themeColor="text1"/>
        </w:rPr>
        <w:t xml:space="preserve"> та мінімізації негативного впливу наслідків військової агресії Російської Федерації проти України </w:t>
      </w:r>
      <w:r w:rsidRPr="00E52248">
        <w:rPr>
          <w:color w:val="000000" w:themeColor="text1"/>
        </w:rPr>
        <w:t>Правління Національного банку України</w:t>
      </w:r>
      <w:r w:rsidRPr="00E52248">
        <w:rPr>
          <w:b/>
          <w:color w:val="000000" w:themeColor="text1"/>
        </w:rPr>
        <w:t xml:space="preserve"> постановляє:</w:t>
      </w:r>
    </w:p>
    <w:p w14:paraId="70854D80" w14:textId="5EBBA19F" w:rsidR="00626B72" w:rsidRDefault="0001132C" w:rsidP="00E52248">
      <w:pPr>
        <w:pStyle w:val="af3"/>
        <w:numPr>
          <w:ilvl w:val="0"/>
          <w:numId w:val="2"/>
        </w:numPr>
        <w:tabs>
          <w:tab w:val="left" w:pos="993"/>
        </w:tabs>
        <w:spacing w:before="240" w:after="240"/>
        <w:ind w:left="0" w:firstLine="567"/>
        <w:rPr>
          <w:color w:val="000000"/>
        </w:rPr>
      </w:pPr>
      <w:r>
        <w:rPr>
          <w:color w:val="000000"/>
        </w:rPr>
        <w:t>Поширити в</w:t>
      </w:r>
      <w:r w:rsidR="00E52248">
        <w:rPr>
          <w:color w:val="000000"/>
        </w:rPr>
        <w:t>имоги</w:t>
      </w:r>
      <w:r w:rsidR="00E52248" w:rsidRPr="00626B72">
        <w:rPr>
          <w:color w:val="000000"/>
        </w:rPr>
        <w:t xml:space="preserve"> </w:t>
      </w:r>
      <w:r w:rsidR="00626B72" w:rsidRPr="00626B72">
        <w:rPr>
          <w:color w:val="000000"/>
        </w:rPr>
        <w:t xml:space="preserve">цієї постанови </w:t>
      </w:r>
      <w:r w:rsidR="00E52248">
        <w:rPr>
          <w:color w:val="000000"/>
        </w:rPr>
        <w:t>на</w:t>
      </w:r>
      <w:r w:rsidR="00626B72">
        <w:rPr>
          <w:color w:val="000000"/>
        </w:rPr>
        <w:t>:</w:t>
      </w:r>
      <w:r w:rsidR="00626B72" w:rsidRPr="00626B72">
        <w:rPr>
          <w:color w:val="000000"/>
        </w:rPr>
        <w:t xml:space="preserve"> </w:t>
      </w:r>
    </w:p>
    <w:p w14:paraId="44FB200F" w14:textId="77777777" w:rsidR="00626B72" w:rsidRPr="00626B72" w:rsidRDefault="00626B72" w:rsidP="00E52248">
      <w:pPr>
        <w:tabs>
          <w:tab w:val="left" w:pos="993"/>
        </w:tabs>
        <w:ind w:firstLine="567"/>
        <w:rPr>
          <w:color w:val="000000"/>
        </w:rPr>
      </w:pPr>
      <w:r>
        <w:rPr>
          <w:color w:val="000000"/>
        </w:rPr>
        <w:t xml:space="preserve">1) </w:t>
      </w:r>
      <w:r w:rsidRPr="00626B72">
        <w:rPr>
          <w:color w:val="000000"/>
        </w:rPr>
        <w:t xml:space="preserve">учасників ринку небанківських фінансових послуг, нагляд за діяльністю яких здійснює Національний банк </w:t>
      </w:r>
      <w:r w:rsidR="00CA08B6">
        <w:rPr>
          <w:color w:val="000000"/>
        </w:rPr>
        <w:t xml:space="preserve">України </w:t>
      </w:r>
      <w:r w:rsidRPr="00626B72">
        <w:rPr>
          <w:color w:val="000000"/>
        </w:rPr>
        <w:t>(далі ‒ учасники ринку небанківських фінансових послуг):</w:t>
      </w:r>
    </w:p>
    <w:p w14:paraId="7109C353" w14:textId="6FE5C105" w:rsidR="00A87081" w:rsidRDefault="00613091" w:rsidP="00E52248">
      <w:pPr>
        <w:tabs>
          <w:tab w:val="left" w:pos="993"/>
        </w:tabs>
        <w:ind w:firstLine="567"/>
        <w:rPr>
          <w:color w:val="000000"/>
        </w:rPr>
      </w:pPr>
      <w:r w:rsidRPr="00613091">
        <w:rPr>
          <w:color w:val="000000"/>
        </w:rPr>
        <w:t>небанківськ</w:t>
      </w:r>
      <w:r w:rsidR="00E52248">
        <w:rPr>
          <w:color w:val="000000"/>
        </w:rPr>
        <w:t>і</w:t>
      </w:r>
      <w:r w:rsidRPr="00613091">
        <w:rPr>
          <w:color w:val="000000"/>
        </w:rPr>
        <w:t xml:space="preserve"> фінансов</w:t>
      </w:r>
      <w:r w:rsidR="00E52248">
        <w:rPr>
          <w:color w:val="000000"/>
        </w:rPr>
        <w:t>і</w:t>
      </w:r>
      <w:r w:rsidRPr="00613091">
        <w:rPr>
          <w:color w:val="000000"/>
        </w:rPr>
        <w:t xml:space="preserve"> установ</w:t>
      </w:r>
      <w:r w:rsidR="00E52248">
        <w:rPr>
          <w:color w:val="000000"/>
        </w:rPr>
        <w:t>и</w:t>
      </w:r>
      <w:r w:rsidRPr="00613091">
        <w:rPr>
          <w:color w:val="000000"/>
        </w:rPr>
        <w:t>;</w:t>
      </w:r>
    </w:p>
    <w:p w14:paraId="1E974C3A" w14:textId="77777777" w:rsidR="00A87081" w:rsidRPr="00613091" w:rsidRDefault="00613091" w:rsidP="00E52248">
      <w:pPr>
        <w:tabs>
          <w:tab w:val="left" w:pos="993"/>
        </w:tabs>
        <w:ind w:firstLine="567"/>
        <w:rPr>
          <w:color w:val="000000"/>
        </w:rPr>
      </w:pPr>
      <w:r w:rsidRPr="00613091">
        <w:rPr>
          <w:color w:val="000000"/>
        </w:rPr>
        <w:t>юридичних осіб, які не є фінансовими установами, але мають право надавати окремі фінансові послуги;</w:t>
      </w:r>
    </w:p>
    <w:p w14:paraId="2D541753" w14:textId="77777777" w:rsidR="00A87081" w:rsidRPr="00613091" w:rsidRDefault="00613091" w:rsidP="00E52248">
      <w:pPr>
        <w:tabs>
          <w:tab w:val="left" w:pos="993"/>
        </w:tabs>
        <w:ind w:firstLine="567"/>
        <w:rPr>
          <w:color w:val="000000"/>
        </w:rPr>
      </w:pPr>
      <w:r w:rsidRPr="00613091">
        <w:rPr>
          <w:color w:val="000000"/>
        </w:rPr>
        <w:t>осіб, що надають посередницькі послуги на ринках фінансових послуг;</w:t>
      </w:r>
    </w:p>
    <w:p w14:paraId="0E0FA538" w14:textId="5C2ACA36" w:rsidR="00A87081" w:rsidRPr="00626B72" w:rsidRDefault="00613091" w:rsidP="00E52248">
      <w:pPr>
        <w:tabs>
          <w:tab w:val="left" w:pos="993"/>
        </w:tabs>
        <w:ind w:firstLine="567"/>
        <w:rPr>
          <w:color w:val="000000"/>
        </w:rPr>
      </w:pPr>
      <w:r w:rsidRPr="00613091">
        <w:rPr>
          <w:color w:val="000000"/>
        </w:rPr>
        <w:t>фізичних осіб</w:t>
      </w:r>
      <w:r w:rsidR="00E52248">
        <w:rPr>
          <w:color w:val="000000"/>
        </w:rPr>
        <w:t>-</w:t>
      </w:r>
      <w:r w:rsidRPr="00613091">
        <w:rPr>
          <w:color w:val="000000"/>
        </w:rPr>
        <w:t>підприємців, які надають фінансові послуги;</w:t>
      </w:r>
    </w:p>
    <w:p w14:paraId="09421590" w14:textId="4AFBD1F4" w:rsidR="00626B72" w:rsidRPr="00E52248" w:rsidRDefault="00626B72" w:rsidP="00E52248">
      <w:pPr>
        <w:tabs>
          <w:tab w:val="left" w:pos="1134"/>
        </w:tabs>
        <w:ind w:firstLine="567"/>
        <w:rPr>
          <w:color w:val="000000" w:themeColor="text1"/>
        </w:rPr>
      </w:pPr>
      <w:r w:rsidRPr="00E52248">
        <w:rPr>
          <w:color w:val="000000" w:themeColor="text1"/>
        </w:rPr>
        <w:t>постійн</w:t>
      </w:r>
      <w:r w:rsidR="00E52248" w:rsidRPr="00E52248">
        <w:rPr>
          <w:color w:val="000000" w:themeColor="text1"/>
        </w:rPr>
        <w:t>і</w:t>
      </w:r>
      <w:r w:rsidRPr="00E52248">
        <w:rPr>
          <w:color w:val="000000" w:themeColor="text1"/>
        </w:rPr>
        <w:t xml:space="preserve"> представництв</w:t>
      </w:r>
      <w:r w:rsidR="00E52248" w:rsidRPr="00E52248">
        <w:rPr>
          <w:color w:val="000000" w:themeColor="text1"/>
        </w:rPr>
        <w:t>а</w:t>
      </w:r>
      <w:r w:rsidRPr="00E52248">
        <w:rPr>
          <w:color w:val="000000" w:themeColor="text1"/>
        </w:rPr>
        <w:t xml:space="preserve"> у формі філій іноземних страхових компаній, які одержали </w:t>
      </w:r>
      <w:r w:rsidR="00080C43">
        <w:rPr>
          <w:color w:val="000000"/>
        </w:rPr>
        <w:t>в</w:t>
      </w:r>
      <w:r w:rsidR="00080C43" w:rsidRPr="00626B72">
        <w:rPr>
          <w:color w:val="000000"/>
        </w:rPr>
        <w:t xml:space="preserve"> </w:t>
      </w:r>
      <w:r w:rsidR="00080C43">
        <w:rPr>
          <w:color w:val="000000"/>
        </w:rPr>
        <w:t>у</w:t>
      </w:r>
      <w:r w:rsidR="00080C43" w:rsidRPr="00626B72">
        <w:rPr>
          <w:color w:val="000000"/>
        </w:rPr>
        <w:t xml:space="preserve">становленому </w:t>
      </w:r>
      <w:r w:rsidRPr="00E52248">
        <w:rPr>
          <w:color w:val="000000" w:themeColor="text1"/>
        </w:rPr>
        <w:t>порядку ліцензію на здійснення страхової діяльності;</w:t>
      </w:r>
    </w:p>
    <w:p w14:paraId="4741DBFA" w14:textId="0A0978E7" w:rsidR="00626B72" w:rsidRPr="00E52248" w:rsidRDefault="00626B72" w:rsidP="00E52248">
      <w:pPr>
        <w:tabs>
          <w:tab w:val="left" w:pos="1134"/>
        </w:tabs>
        <w:spacing w:before="240" w:after="240"/>
        <w:ind w:firstLine="567"/>
        <w:rPr>
          <w:color w:val="000000" w:themeColor="text1"/>
        </w:rPr>
      </w:pPr>
      <w:r w:rsidRPr="00E52248">
        <w:rPr>
          <w:color w:val="000000" w:themeColor="text1"/>
        </w:rPr>
        <w:lastRenderedPageBreak/>
        <w:t>2) небанківськ</w:t>
      </w:r>
      <w:r w:rsidR="00E52248" w:rsidRPr="00E52248">
        <w:rPr>
          <w:color w:val="000000" w:themeColor="text1"/>
        </w:rPr>
        <w:t>і</w:t>
      </w:r>
      <w:r w:rsidRPr="00E52248">
        <w:rPr>
          <w:color w:val="000000" w:themeColor="text1"/>
        </w:rPr>
        <w:t xml:space="preserve"> фінансов</w:t>
      </w:r>
      <w:r w:rsidR="00E52248" w:rsidRPr="00E52248">
        <w:rPr>
          <w:color w:val="000000" w:themeColor="text1"/>
        </w:rPr>
        <w:t>і</w:t>
      </w:r>
      <w:r w:rsidRPr="00E52248">
        <w:rPr>
          <w:color w:val="000000" w:themeColor="text1"/>
        </w:rPr>
        <w:t xml:space="preserve"> груп</w:t>
      </w:r>
      <w:r w:rsidR="00E52248" w:rsidRPr="00E52248">
        <w:rPr>
          <w:color w:val="000000" w:themeColor="text1"/>
        </w:rPr>
        <w:t>и</w:t>
      </w:r>
      <w:r w:rsidRPr="00E52248">
        <w:rPr>
          <w:color w:val="000000" w:themeColor="text1"/>
        </w:rPr>
        <w:t>, нагляд на консолідованій основі за якими здійснює Національний банк</w:t>
      </w:r>
      <w:r w:rsidR="00CA08B6" w:rsidRPr="00E52248">
        <w:rPr>
          <w:color w:val="000000" w:themeColor="text1"/>
        </w:rPr>
        <w:t xml:space="preserve"> України (далі – Національний банк)</w:t>
      </w:r>
      <w:r w:rsidR="00573878" w:rsidRPr="00E52248">
        <w:rPr>
          <w:color w:val="000000" w:themeColor="text1"/>
          <w:lang w:val="ru-RU"/>
        </w:rPr>
        <w:t>;</w:t>
      </w:r>
    </w:p>
    <w:p w14:paraId="44A0D52B" w14:textId="2EF03321" w:rsidR="00E310F4" w:rsidRPr="00E52248" w:rsidRDefault="00573878" w:rsidP="00E52248">
      <w:pPr>
        <w:tabs>
          <w:tab w:val="left" w:pos="1134"/>
        </w:tabs>
        <w:spacing w:before="240" w:after="240"/>
        <w:ind w:firstLine="567"/>
        <w:rPr>
          <w:color w:val="000000" w:themeColor="text1"/>
        </w:rPr>
      </w:pPr>
      <w:r w:rsidRPr="00E52248">
        <w:rPr>
          <w:color w:val="000000" w:themeColor="text1"/>
        </w:rPr>
        <w:t xml:space="preserve">3) </w:t>
      </w:r>
      <w:r w:rsidR="00322515" w:rsidRPr="00E52248">
        <w:rPr>
          <w:color w:val="000000" w:themeColor="text1"/>
        </w:rPr>
        <w:t>платіжн</w:t>
      </w:r>
      <w:r w:rsidR="00E52248" w:rsidRPr="00E52248">
        <w:rPr>
          <w:color w:val="000000" w:themeColor="text1"/>
        </w:rPr>
        <w:t>і</w:t>
      </w:r>
      <w:r w:rsidR="00322515" w:rsidRPr="00E52248">
        <w:rPr>
          <w:color w:val="000000" w:themeColor="text1"/>
        </w:rPr>
        <w:t xml:space="preserve"> організаці</w:t>
      </w:r>
      <w:r w:rsidR="00E52248" w:rsidRPr="00E52248">
        <w:rPr>
          <w:color w:val="000000" w:themeColor="text1"/>
        </w:rPr>
        <w:t>ї</w:t>
      </w:r>
      <w:r w:rsidR="00322515" w:rsidRPr="00E52248">
        <w:rPr>
          <w:color w:val="000000" w:themeColor="text1"/>
        </w:rPr>
        <w:t xml:space="preserve"> платіжних систем, учасників</w:t>
      </w:r>
      <w:r w:rsidR="00E52248" w:rsidRPr="00E52248">
        <w:rPr>
          <w:color w:val="000000" w:themeColor="text1"/>
        </w:rPr>
        <w:t>-</w:t>
      </w:r>
      <w:r w:rsidR="00322515" w:rsidRPr="00E52248">
        <w:rPr>
          <w:color w:val="000000" w:themeColor="text1"/>
        </w:rPr>
        <w:t>резидентів платіжних систем, операторів послуг платіжної інфраструктури</w:t>
      </w:r>
      <w:r w:rsidR="00E310F4" w:rsidRPr="00E52248">
        <w:rPr>
          <w:color w:val="000000" w:themeColor="text1"/>
        </w:rPr>
        <w:t>;</w:t>
      </w:r>
    </w:p>
    <w:p w14:paraId="691EBA2B" w14:textId="4EC2C631" w:rsidR="00E310F4" w:rsidRPr="00E52248" w:rsidRDefault="00E310F4" w:rsidP="00E52248">
      <w:pPr>
        <w:tabs>
          <w:tab w:val="left" w:pos="1134"/>
        </w:tabs>
        <w:spacing w:before="240" w:after="240"/>
        <w:ind w:firstLine="567"/>
        <w:rPr>
          <w:color w:val="000000" w:themeColor="text1"/>
        </w:rPr>
      </w:pPr>
      <w:r w:rsidRPr="00E52248">
        <w:rPr>
          <w:color w:val="000000" w:themeColor="text1"/>
        </w:rPr>
        <w:t>4) колекторськ</w:t>
      </w:r>
      <w:r w:rsidR="00E52248" w:rsidRPr="00E52248">
        <w:rPr>
          <w:color w:val="000000" w:themeColor="text1"/>
        </w:rPr>
        <w:t>і</w:t>
      </w:r>
      <w:r w:rsidRPr="00E52248">
        <w:rPr>
          <w:color w:val="000000" w:themeColor="text1"/>
        </w:rPr>
        <w:t xml:space="preserve"> компані</w:t>
      </w:r>
      <w:r w:rsidR="00E52248" w:rsidRPr="00E52248">
        <w:rPr>
          <w:color w:val="000000" w:themeColor="text1"/>
        </w:rPr>
        <w:t>ї</w:t>
      </w:r>
      <w:r w:rsidRPr="00E52248">
        <w:rPr>
          <w:color w:val="000000" w:themeColor="text1"/>
        </w:rPr>
        <w:t>;</w:t>
      </w:r>
    </w:p>
    <w:p w14:paraId="5AD904DF" w14:textId="77777777" w:rsidR="00573878" w:rsidRPr="00E52248" w:rsidRDefault="00E310F4" w:rsidP="00E52248">
      <w:pPr>
        <w:tabs>
          <w:tab w:val="left" w:pos="1134"/>
        </w:tabs>
        <w:spacing w:before="240" w:after="240"/>
        <w:ind w:firstLine="567"/>
        <w:rPr>
          <w:color w:val="000000" w:themeColor="text1"/>
        </w:rPr>
      </w:pPr>
      <w:r w:rsidRPr="00E52248">
        <w:rPr>
          <w:color w:val="000000" w:themeColor="text1"/>
        </w:rPr>
        <w:t>5) юридичних осіб, які отримали ліцензію Національного банку на надання банкам послуг з інкасації</w:t>
      </w:r>
      <w:r w:rsidR="00573878" w:rsidRPr="00E52248">
        <w:rPr>
          <w:color w:val="000000" w:themeColor="text1"/>
        </w:rPr>
        <w:t>.</w:t>
      </w:r>
    </w:p>
    <w:p w14:paraId="529CC583" w14:textId="77777777" w:rsidR="00CB2D66" w:rsidRPr="00E52248" w:rsidRDefault="00626B72" w:rsidP="00E52248">
      <w:pPr>
        <w:tabs>
          <w:tab w:val="left" w:pos="1134"/>
        </w:tabs>
        <w:spacing w:before="240" w:after="240"/>
        <w:ind w:firstLine="567"/>
        <w:rPr>
          <w:color w:val="000000" w:themeColor="text1"/>
        </w:rPr>
      </w:pPr>
      <w:r w:rsidRPr="00E52248">
        <w:rPr>
          <w:color w:val="000000" w:themeColor="text1"/>
        </w:rPr>
        <w:t xml:space="preserve">2. </w:t>
      </w:r>
      <w:r w:rsidR="005D7760" w:rsidRPr="00E52248">
        <w:rPr>
          <w:color w:val="000000" w:themeColor="text1"/>
        </w:rPr>
        <w:t>Національний банк не застосовує</w:t>
      </w:r>
      <w:r w:rsidR="00CB2D66" w:rsidRPr="00E52248">
        <w:rPr>
          <w:color w:val="000000" w:themeColor="text1"/>
        </w:rPr>
        <w:t xml:space="preserve"> до </w:t>
      </w:r>
      <w:r w:rsidR="001808B5" w:rsidRPr="00E52248">
        <w:rPr>
          <w:color w:val="000000" w:themeColor="text1"/>
        </w:rPr>
        <w:t>осіб, зазначених у пункті 1 цієї постанови,</w:t>
      </w:r>
      <w:r w:rsidR="00CB2D66" w:rsidRPr="00E52248">
        <w:rPr>
          <w:color w:val="000000" w:themeColor="text1"/>
        </w:rPr>
        <w:t xml:space="preserve"> заходів впливу за порушення: </w:t>
      </w:r>
    </w:p>
    <w:p w14:paraId="63521F02" w14:textId="4EAB9EF0" w:rsidR="00CB2D66" w:rsidRPr="00E52248" w:rsidRDefault="00CB2D66" w:rsidP="00E52248">
      <w:pPr>
        <w:tabs>
          <w:tab w:val="left" w:pos="1134"/>
        </w:tabs>
        <w:spacing w:before="240" w:after="240"/>
        <w:ind w:firstLine="567"/>
        <w:rPr>
          <w:color w:val="000000" w:themeColor="text1"/>
        </w:rPr>
      </w:pPr>
      <w:r w:rsidRPr="00E52248">
        <w:rPr>
          <w:color w:val="000000" w:themeColor="text1"/>
        </w:rPr>
        <w:t xml:space="preserve">1) строків подання звітності, </w:t>
      </w:r>
      <w:r w:rsidR="00660CAD">
        <w:rPr>
          <w:color w:val="000000" w:themeColor="text1"/>
        </w:rPr>
        <w:t>у</w:t>
      </w:r>
      <w:r w:rsidRPr="00E52248">
        <w:rPr>
          <w:color w:val="000000" w:themeColor="text1"/>
        </w:rPr>
        <w:t xml:space="preserve">становлених Правилами складання та подання звітності учасниками ринку небанківських фінансових послуг до Національного банку України, затвердженими постановою Правління Національного банку </w:t>
      </w:r>
      <w:r w:rsidR="00F42973" w:rsidRPr="00E52248">
        <w:rPr>
          <w:color w:val="000000" w:themeColor="text1"/>
        </w:rPr>
        <w:t xml:space="preserve">України </w:t>
      </w:r>
      <w:r w:rsidRPr="00E52248">
        <w:rPr>
          <w:color w:val="000000" w:themeColor="text1"/>
        </w:rPr>
        <w:t>від 25 листопада 202</w:t>
      </w:r>
      <w:r w:rsidR="00660CAD">
        <w:rPr>
          <w:color w:val="000000" w:themeColor="text1"/>
        </w:rPr>
        <w:t>1</w:t>
      </w:r>
      <w:r w:rsidRPr="00E52248">
        <w:rPr>
          <w:color w:val="000000" w:themeColor="text1"/>
        </w:rPr>
        <w:t xml:space="preserve"> року № 123;</w:t>
      </w:r>
    </w:p>
    <w:p w14:paraId="607C898F" w14:textId="77777777" w:rsidR="00C1142A" w:rsidRPr="00E52248" w:rsidRDefault="00CB2D66" w:rsidP="00E52248">
      <w:pPr>
        <w:tabs>
          <w:tab w:val="left" w:pos="1134"/>
        </w:tabs>
        <w:spacing w:before="240" w:after="240"/>
        <w:ind w:firstLine="567"/>
        <w:rPr>
          <w:color w:val="000000" w:themeColor="text1"/>
        </w:rPr>
      </w:pPr>
      <w:r w:rsidRPr="000E3F46">
        <w:rPr>
          <w:color w:val="000000" w:themeColor="text1"/>
        </w:rPr>
        <w:t xml:space="preserve">2) </w:t>
      </w:r>
      <w:r w:rsidR="00BA4F7B" w:rsidRPr="000E3F46">
        <w:rPr>
          <w:color w:val="000000" w:themeColor="text1"/>
        </w:rPr>
        <w:t>строків</w:t>
      </w:r>
      <w:r w:rsidR="00BA4F7B" w:rsidRPr="00E52248">
        <w:rPr>
          <w:color w:val="000000" w:themeColor="text1"/>
        </w:rPr>
        <w:t xml:space="preserve"> подання фінансової звітності та консолідованої фінансової звітності за 2021 рік, проміжної фінансової звітності та проміжної консолідованої фінансової звітності за 2022 рік, складених на основі таксономії фінансової звітності за міжнародними стандартами в єдиному електронному форматі, до центру збору фінансової звітності, операційне управління яким здійснює Національна комісія з цінних паперів та фондового ринку</w:t>
      </w:r>
      <w:r w:rsidR="00C1142A" w:rsidRPr="00E52248">
        <w:rPr>
          <w:color w:val="000000" w:themeColor="text1"/>
        </w:rPr>
        <w:t>;</w:t>
      </w:r>
    </w:p>
    <w:p w14:paraId="24B61A21" w14:textId="16AA8868" w:rsidR="00C67A6F" w:rsidRPr="00E52248" w:rsidRDefault="00C67A6F" w:rsidP="00E52248">
      <w:pPr>
        <w:tabs>
          <w:tab w:val="left" w:pos="1134"/>
        </w:tabs>
        <w:spacing w:before="240" w:after="240"/>
        <w:ind w:firstLine="567"/>
        <w:rPr>
          <w:color w:val="000000" w:themeColor="text1"/>
        </w:rPr>
      </w:pPr>
      <w:r w:rsidRPr="00E52248">
        <w:rPr>
          <w:color w:val="000000" w:themeColor="text1"/>
        </w:rPr>
        <w:t xml:space="preserve">3) вимоги щодо наявності власного капіталу, визначеної </w:t>
      </w:r>
      <w:r w:rsidR="00660CAD">
        <w:rPr>
          <w:color w:val="000000" w:themeColor="text1"/>
        </w:rPr>
        <w:t>в</w:t>
      </w:r>
      <w:r w:rsidRPr="00E52248">
        <w:rPr>
          <w:color w:val="000000" w:themeColor="text1"/>
        </w:rPr>
        <w:t xml:space="preserve"> пункті 162 розділу ІІ 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w:t>
      </w:r>
      <w:r w:rsidR="00660CAD">
        <w:rPr>
          <w:color w:val="000000" w:themeColor="text1"/>
        </w:rPr>
        <w:t> </w:t>
      </w:r>
      <w:r w:rsidR="00613091" w:rsidRPr="00E52248">
        <w:rPr>
          <w:color w:val="000000" w:themeColor="text1"/>
        </w:rPr>
        <w:t xml:space="preserve">грудня </w:t>
      </w:r>
      <w:r w:rsidRPr="00E52248">
        <w:rPr>
          <w:color w:val="000000" w:themeColor="text1"/>
        </w:rPr>
        <w:t>2021</w:t>
      </w:r>
      <w:r w:rsidR="0040115C" w:rsidRPr="00E52248">
        <w:rPr>
          <w:color w:val="000000" w:themeColor="text1"/>
        </w:rPr>
        <w:t xml:space="preserve"> року</w:t>
      </w:r>
      <w:r w:rsidRPr="00E52248">
        <w:rPr>
          <w:color w:val="000000" w:themeColor="text1"/>
        </w:rPr>
        <w:t xml:space="preserve"> № 153 (далі – Положення про ліцензування та реєстрацію);</w:t>
      </w:r>
    </w:p>
    <w:p w14:paraId="79151C08" w14:textId="77777777" w:rsidR="00EE35CC" w:rsidRPr="00E52248" w:rsidRDefault="00C67A6F" w:rsidP="00E52248">
      <w:pPr>
        <w:tabs>
          <w:tab w:val="left" w:pos="1134"/>
        </w:tabs>
        <w:spacing w:before="240" w:after="240"/>
        <w:ind w:firstLine="567"/>
        <w:rPr>
          <w:color w:val="000000" w:themeColor="text1"/>
        </w:rPr>
      </w:pPr>
      <w:r w:rsidRPr="00E52248">
        <w:rPr>
          <w:color w:val="000000" w:themeColor="text1"/>
        </w:rPr>
        <w:t>4</w:t>
      </w:r>
      <w:r w:rsidR="00C1142A" w:rsidRPr="00E52248">
        <w:rPr>
          <w:color w:val="000000" w:themeColor="text1"/>
        </w:rPr>
        <w:t xml:space="preserve">) </w:t>
      </w:r>
      <w:r w:rsidR="001808B5" w:rsidRPr="00E52248">
        <w:rPr>
          <w:color w:val="000000" w:themeColor="text1"/>
        </w:rPr>
        <w:t>вимог щодо подання до Національного банку документів та інформації, передбачених Положенням про ліцензування та реєстрацію;</w:t>
      </w:r>
    </w:p>
    <w:p w14:paraId="39E15A04" w14:textId="51A28119" w:rsidR="00BA4F7B" w:rsidRPr="00E52248" w:rsidRDefault="00C67A6F" w:rsidP="00E52248">
      <w:pPr>
        <w:tabs>
          <w:tab w:val="left" w:pos="1134"/>
        </w:tabs>
        <w:spacing w:before="240" w:after="240"/>
        <w:ind w:firstLine="567"/>
        <w:rPr>
          <w:color w:val="000000" w:themeColor="text1"/>
        </w:rPr>
      </w:pPr>
      <w:r w:rsidRPr="00E52248">
        <w:rPr>
          <w:color w:val="000000" w:themeColor="text1"/>
        </w:rPr>
        <w:t>5</w:t>
      </w:r>
      <w:r w:rsidR="00577CED" w:rsidRPr="00E52248">
        <w:rPr>
          <w:color w:val="000000" w:themeColor="text1"/>
        </w:rPr>
        <w:t xml:space="preserve">) </w:t>
      </w:r>
      <w:r w:rsidR="00A71713" w:rsidRPr="00E52248">
        <w:rPr>
          <w:color w:val="000000" w:themeColor="text1"/>
        </w:rPr>
        <w:t xml:space="preserve">вимог щодо обов’язкового подання до Національного банку </w:t>
      </w:r>
      <w:r w:rsidR="001808B5" w:rsidRPr="00E52248">
        <w:rPr>
          <w:color w:val="000000" w:themeColor="text1"/>
        </w:rPr>
        <w:t xml:space="preserve">та розміщення на власних вебсайтах </w:t>
      </w:r>
      <w:r w:rsidR="00A71713" w:rsidRPr="00E52248">
        <w:rPr>
          <w:color w:val="000000" w:themeColor="text1"/>
        </w:rPr>
        <w:t>інформації та документів, передбачених</w:t>
      </w:r>
      <w:r w:rsidR="0067333A" w:rsidRPr="00E52248">
        <w:rPr>
          <w:color w:val="000000" w:themeColor="text1"/>
        </w:rPr>
        <w:t xml:space="preserve"> нормативно-правовими актами</w:t>
      </w:r>
      <w:r w:rsidR="00A71713" w:rsidRPr="00E52248">
        <w:rPr>
          <w:color w:val="000000" w:themeColor="text1"/>
        </w:rPr>
        <w:t xml:space="preserve"> </w:t>
      </w:r>
      <w:r w:rsidR="0067333A" w:rsidRPr="00E52248">
        <w:rPr>
          <w:color w:val="000000" w:themeColor="text1"/>
        </w:rPr>
        <w:t>Націона</w:t>
      </w:r>
      <w:r w:rsidR="002460B8" w:rsidRPr="00E52248">
        <w:rPr>
          <w:color w:val="000000" w:themeColor="text1"/>
        </w:rPr>
        <w:t>льного банку, зазначеними</w:t>
      </w:r>
      <w:r w:rsidR="0067333A" w:rsidRPr="00E52248">
        <w:rPr>
          <w:color w:val="000000" w:themeColor="text1"/>
        </w:rPr>
        <w:t xml:space="preserve"> в додатку до цієї постанови.</w:t>
      </w:r>
    </w:p>
    <w:p w14:paraId="15470FB7" w14:textId="1CF5B482" w:rsidR="00744509" w:rsidRPr="00E52248" w:rsidRDefault="00744509" w:rsidP="00E52248">
      <w:pPr>
        <w:tabs>
          <w:tab w:val="left" w:pos="1134"/>
        </w:tabs>
        <w:spacing w:before="240" w:after="240"/>
        <w:ind w:firstLine="567"/>
        <w:rPr>
          <w:color w:val="000000" w:themeColor="text1"/>
        </w:rPr>
      </w:pPr>
      <w:r w:rsidRPr="00E52248">
        <w:rPr>
          <w:color w:val="000000" w:themeColor="text1"/>
        </w:rPr>
        <w:t xml:space="preserve">3. Національний банк не застосовує до страховиків заходів впливу за порушення обов’язкових критеріїв і нормативів достатності капіталу та платоспроможності, ліквідності, прибутковості, якості активів та ризиковості операцій страховика, установлених </w:t>
      </w:r>
      <w:r w:rsidR="00A21E9E" w:rsidRPr="00E52248">
        <w:rPr>
          <w:color w:val="000000" w:themeColor="text1"/>
        </w:rPr>
        <w:t>Положенням про обов</w:t>
      </w:r>
      <w:r w:rsidR="00660CAD">
        <w:rPr>
          <w:color w:val="000000" w:themeColor="text1"/>
        </w:rPr>
        <w:t>’</w:t>
      </w:r>
      <w:r w:rsidR="00A21E9E" w:rsidRPr="00E52248">
        <w:rPr>
          <w:color w:val="000000" w:themeColor="text1"/>
        </w:rPr>
        <w:t>язкові критерії і нормативи достатності капіталу та платоспроможності, ліквідності, прибутковості, якості активів та ризиковості операцій страховика, затверджен</w:t>
      </w:r>
      <w:r w:rsidR="00A212B8">
        <w:rPr>
          <w:color w:val="000000" w:themeColor="text1"/>
        </w:rPr>
        <w:t>им</w:t>
      </w:r>
      <w:r w:rsidR="00A21E9E" w:rsidRPr="00E52248">
        <w:rPr>
          <w:color w:val="000000" w:themeColor="text1"/>
        </w:rPr>
        <w:t xml:space="preserve"> </w:t>
      </w:r>
      <w:r w:rsidR="00A21E9E" w:rsidRPr="00E52248">
        <w:rPr>
          <w:color w:val="000000" w:themeColor="text1"/>
        </w:rPr>
        <w:lastRenderedPageBreak/>
        <w:t>розпорядженням Національної комісії, що здійснює державне регулювання у сфері ринків фінансових послуг, від 07 червня 2018 року № 850, зареєстрован</w:t>
      </w:r>
      <w:r w:rsidR="00A212B8">
        <w:rPr>
          <w:color w:val="000000" w:themeColor="text1"/>
        </w:rPr>
        <w:t>им</w:t>
      </w:r>
      <w:r w:rsidR="00A21E9E" w:rsidRPr="00E52248">
        <w:rPr>
          <w:color w:val="000000" w:themeColor="text1"/>
        </w:rPr>
        <w:t xml:space="preserve"> </w:t>
      </w:r>
      <w:r w:rsidR="00A212B8">
        <w:rPr>
          <w:color w:val="000000" w:themeColor="text1"/>
        </w:rPr>
        <w:t>у</w:t>
      </w:r>
      <w:r w:rsidR="00A21E9E" w:rsidRPr="00E52248">
        <w:rPr>
          <w:color w:val="000000" w:themeColor="text1"/>
        </w:rPr>
        <w:t xml:space="preserve"> Міністерстві юстиції України 06 липня 2018 року за №</w:t>
      </w:r>
      <w:r w:rsidR="00B303DE">
        <w:rPr>
          <w:color w:val="000000" w:themeColor="text1"/>
        </w:rPr>
        <w:t> </w:t>
      </w:r>
      <w:r w:rsidR="00A21E9E" w:rsidRPr="00E52248">
        <w:rPr>
          <w:color w:val="000000" w:themeColor="text1"/>
        </w:rPr>
        <w:t>782/32234 (зі змінами).</w:t>
      </w:r>
    </w:p>
    <w:p w14:paraId="6232A529" w14:textId="77777777" w:rsidR="00AA7BFD" w:rsidRPr="00E52248" w:rsidRDefault="00714CB7" w:rsidP="00E52248">
      <w:pPr>
        <w:tabs>
          <w:tab w:val="left" w:pos="1134"/>
        </w:tabs>
        <w:spacing w:before="240" w:after="240"/>
        <w:ind w:firstLine="567"/>
        <w:rPr>
          <w:color w:val="000000" w:themeColor="text1"/>
        </w:rPr>
      </w:pPr>
      <w:r w:rsidRPr="00E52248">
        <w:rPr>
          <w:color w:val="000000" w:themeColor="text1"/>
        </w:rPr>
        <w:t>4</w:t>
      </w:r>
      <w:r w:rsidR="0004128E" w:rsidRPr="00E52248">
        <w:rPr>
          <w:color w:val="000000" w:themeColor="text1"/>
        </w:rPr>
        <w:t xml:space="preserve">. </w:t>
      </w:r>
      <w:r w:rsidR="005D7760" w:rsidRPr="00E52248">
        <w:rPr>
          <w:color w:val="000000" w:themeColor="text1"/>
        </w:rPr>
        <w:t>Національний банк не застосовує</w:t>
      </w:r>
      <w:r w:rsidR="005F21BA" w:rsidRPr="00E52248">
        <w:rPr>
          <w:color w:val="000000" w:themeColor="text1"/>
        </w:rPr>
        <w:t xml:space="preserve"> до кредитних спілок заходів впливу за порушення</w:t>
      </w:r>
      <w:r w:rsidR="00AA7BFD" w:rsidRPr="00E52248">
        <w:rPr>
          <w:color w:val="000000" w:themeColor="text1"/>
        </w:rPr>
        <w:t>:</w:t>
      </w:r>
      <w:r w:rsidR="0004128E" w:rsidRPr="00E52248">
        <w:rPr>
          <w:color w:val="000000" w:themeColor="text1"/>
        </w:rPr>
        <w:t xml:space="preserve"> </w:t>
      </w:r>
    </w:p>
    <w:p w14:paraId="4BF71340" w14:textId="3F507197" w:rsidR="005F21BA" w:rsidRPr="00E52248" w:rsidRDefault="00AA7BFD" w:rsidP="00E52248">
      <w:pPr>
        <w:tabs>
          <w:tab w:val="left" w:pos="1134"/>
        </w:tabs>
        <w:spacing w:before="240" w:after="240"/>
        <w:ind w:firstLine="567"/>
        <w:rPr>
          <w:color w:val="000000" w:themeColor="text1"/>
        </w:rPr>
      </w:pPr>
      <w:r w:rsidRPr="00E52248">
        <w:rPr>
          <w:color w:val="000000" w:themeColor="text1"/>
        </w:rPr>
        <w:t xml:space="preserve">1) </w:t>
      </w:r>
      <w:r w:rsidR="005F21BA" w:rsidRPr="00E52248">
        <w:rPr>
          <w:color w:val="000000" w:themeColor="text1"/>
        </w:rPr>
        <w:t xml:space="preserve">обов’язкових фінансових нормативів та вимог, що обмежують ризики за операціями з фінансовими активами кредитних спілок, установлених </w:t>
      </w:r>
      <w:r w:rsidR="00A21E9E" w:rsidRPr="00E52248">
        <w:rPr>
          <w:color w:val="000000" w:themeColor="text1"/>
        </w:rPr>
        <w:t>Положенням про обов’язкові фінансові нормативи та вимоги, що обмежують ризики за операціями з фінансовими активами кредитних спілок, затверджен</w:t>
      </w:r>
      <w:r w:rsidR="00A212B8">
        <w:rPr>
          <w:color w:val="000000" w:themeColor="text1"/>
        </w:rPr>
        <w:t>им</w:t>
      </w:r>
      <w:r w:rsidR="00A21E9E" w:rsidRPr="00E52248">
        <w:rPr>
          <w:color w:val="000000" w:themeColor="text1"/>
        </w:rPr>
        <w:t xml:space="preserve"> розпорядженням Національної комісії, що здійснює регулювання у сфері ринків фінансових послуг, від 19 вересня 2019 року № 1840, зареєстрован</w:t>
      </w:r>
      <w:r w:rsidR="00197E56">
        <w:rPr>
          <w:color w:val="000000" w:themeColor="text1"/>
        </w:rPr>
        <w:t>им</w:t>
      </w:r>
      <w:r w:rsidR="00A21E9E" w:rsidRPr="00E52248">
        <w:rPr>
          <w:color w:val="000000" w:themeColor="text1"/>
        </w:rPr>
        <w:t xml:space="preserve"> </w:t>
      </w:r>
      <w:r w:rsidR="00197E56">
        <w:rPr>
          <w:color w:val="000000" w:themeColor="text1"/>
        </w:rPr>
        <w:t>у</w:t>
      </w:r>
      <w:r w:rsidR="00A21E9E" w:rsidRPr="00E52248">
        <w:rPr>
          <w:color w:val="000000" w:themeColor="text1"/>
        </w:rPr>
        <w:t xml:space="preserve"> Міністерстві юстиції України 27 листопада 2019 року за № 1186/34157;</w:t>
      </w:r>
    </w:p>
    <w:p w14:paraId="60AA53AB" w14:textId="77777777" w:rsidR="00AA7BFD" w:rsidRPr="00E52248" w:rsidRDefault="00AA7BFD" w:rsidP="00E52248">
      <w:pPr>
        <w:tabs>
          <w:tab w:val="left" w:pos="1134"/>
        </w:tabs>
        <w:spacing w:before="240" w:after="240"/>
        <w:ind w:firstLine="567"/>
        <w:rPr>
          <w:color w:val="000000" w:themeColor="text1"/>
        </w:rPr>
      </w:pPr>
      <w:r w:rsidRPr="00E52248">
        <w:rPr>
          <w:color w:val="000000" w:themeColor="text1"/>
        </w:rPr>
        <w:t>2) строків проведення чергових загальних зборів членів кредитної спілки за підсумками 2021 року.</w:t>
      </w:r>
    </w:p>
    <w:p w14:paraId="0158A3A9" w14:textId="38E32373" w:rsidR="005F21BA" w:rsidRPr="00E52248" w:rsidRDefault="00714CB7" w:rsidP="00E52248">
      <w:pPr>
        <w:tabs>
          <w:tab w:val="left" w:pos="1134"/>
        </w:tabs>
        <w:spacing w:before="240" w:after="240"/>
        <w:ind w:firstLine="567"/>
        <w:rPr>
          <w:color w:val="000000" w:themeColor="text1"/>
        </w:rPr>
      </w:pPr>
      <w:r w:rsidRPr="00E52248">
        <w:rPr>
          <w:color w:val="000000" w:themeColor="text1"/>
        </w:rPr>
        <w:t>5</w:t>
      </w:r>
      <w:r w:rsidR="0004128E" w:rsidRPr="00E52248">
        <w:rPr>
          <w:color w:val="000000" w:themeColor="text1"/>
        </w:rPr>
        <w:t xml:space="preserve">. </w:t>
      </w:r>
      <w:r w:rsidR="005D7760" w:rsidRPr="00E52248">
        <w:rPr>
          <w:color w:val="000000" w:themeColor="text1"/>
        </w:rPr>
        <w:t xml:space="preserve">Національний банк не застосовує </w:t>
      </w:r>
      <w:r w:rsidR="005F21BA" w:rsidRPr="00E52248">
        <w:rPr>
          <w:color w:val="000000" w:themeColor="text1"/>
        </w:rPr>
        <w:t xml:space="preserve">заходів впливу до небанківських фінансових установ, які отримали ліцензію на провадження господарської діяльності з надання гарантій, за порушення </w:t>
      </w:r>
      <w:r w:rsidR="0004128E" w:rsidRPr="00E52248">
        <w:rPr>
          <w:color w:val="000000" w:themeColor="text1"/>
        </w:rPr>
        <w:t xml:space="preserve">обов’язкових фінансових нормативів та вимог, що обмежують ризики за операціями з фінансовими активами, установлених </w:t>
      </w:r>
      <w:r w:rsidR="00BE11A9" w:rsidRPr="00E52248">
        <w:rPr>
          <w:color w:val="000000" w:themeColor="text1"/>
        </w:rPr>
        <w:t xml:space="preserve">Положенням про обов’язкові фінансові нормативи та вимоги, що обмежують ризики за операціями з фінансовими активами фінансових установ, що отримали ліцензію на здійснення господарської діяльності з надання гарантій та </w:t>
      </w:r>
      <w:proofErr w:type="spellStart"/>
      <w:r w:rsidR="00BE11A9" w:rsidRPr="00E52248">
        <w:rPr>
          <w:color w:val="000000" w:themeColor="text1"/>
        </w:rPr>
        <w:t>поручительств</w:t>
      </w:r>
      <w:proofErr w:type="spellEnd"/>
      <w:r w:rsidR="00BE11A9" w:rsidRPr="00E52248">
        <w:rPr>
          <w:color w:val="000000" w:themeColor="text1"/>
        </w:rPr>
        <w:t>, затверджен</w:t>
      </w:r>
      <w:r w:rsidR="00197E56">
        <w:rPr>
          <w:color w:val="000000" w:themeColor="text1"/>
        </w:rPr>
        <w:t>им</w:t>
      </w:r>
      <w:r w:rsidR="00BE11A9" w:rsidRPr="00E52248">
        <w:rPr>
          <w:color w:val="000000" w:themeColor="text1"/>
        </w:rPr>
        <w:t xml:space="preserve"> розпорядженням Національної комісії, що здійснює регулювання у сфері ринків фінансових послуг, від 30 травня 2019 року № 980, зареєстрован</w:t>
      </w:r>
      <w:r w:rsidR="00197E56">
        <w:rPr>
          <w:color w:val="000000" w:themeColor="text1"/>
        </w:rPr>
        <w:t>им</w:t>
      </w:r>
      <w:r w:rsidR="00BE11A9" w:rsidRPr="00E52248">
        <w:rPr>
          <w:color w:val="000000" w:themeColor="text1"/>
        </w:rPr>
        <w:t xml:space="preserve"> </w:t>
      </w:r>
      <w:r w:rsidR="00197E56">
        <w:rPr>
          <w:color w:val="000000" w:themeColor="text1"/>
        </w:rPr>
        <w:t>у</w:t>
      </w:r>
      <w:r w:rsidR="00BE11A9" w:rsidRPr="00E52248">
        <w:rPr>
          <w:color w:val="000000" w:themeColor="text1"/>
        </w:rPr>
        <w:t xml:space="preserve"> Міністерстві юстиції України 15 жовтня 2019 року за № 1113/34084</w:t>
      </w:r>
      <w:r w:rsidR="0004128E" w:rsidRPr="00E52248">
        <w:rPr>
          <w:color w:val="000000" w:themeColor="text1"/>
        </w:rPr>
        <w:t>.</w:t>
      </w:r>
    </w:p>
    <w:p w14:paraId="408B4A62" w14:textId="7CD3C711" w:rsidR="0004128E" w:rsidRPr="00E52248" w:rsidRDefault="00714CB7" w:rsidP="00E52248">
      <w:pPr>
        <w:tabs>
          <w:tab w:val="left" w:pos="1134"/>
        </w:tabs>
        <w:spacing w:before="240" w:after="240"/>
        <w:ind w:firstLine="567"/>
        <w:rPr>
          <w:color w:val="000000" w:themeColor="text1"/>
        </w:rPr>
      </w:pPr>
      <w:r w:rsidRPr="00E52248">
        <w:rPr>
          <w:color w:val="000000" w:themeColor="text1"/>
        </w:rPr>
        <w:t>6</w:t>
      </w:r>
      <w:r w:rsidR="0004128E" w:rsidRPr="00E52248">
        <w:rPr>
          <w:color w:val="000000" w:themeColor="text1"/>
        </w:rPr>
        <w:t xml:space="preserve">. </w:t>
      </w:r>
      <w:r w:rsidR="005D7760" w:rsidRPr="00E52248">
        <w:rPr>
          <w:color w:val="000000" w:themeColor="text1"/>
        </w:rPr>
        <w:t xml:space="preserve">Національний банк не застосовує </w:t>
      </w:r>
      <w:r w:rsidR="0004128E" w:rsidRPr="00E52248">
        <w:rPr>
          <w:color w:val="000000" w:themeColor="text1"/>
        </w:rPr>
        <w:t xml:space="preserve">до небанківських фінансових груп, відповідальної особи, інших учасників небанківської фінансової групи заходів впливу за порушення вимог щодо достатності регулятивного капіталу, складання та подання консолідованої та </w:t>
      </w:r>
      <w:proofErr w:type="spellStart"/>
      <w:r w:rsidR="0004128E" w:rsidRPr="00E52248">
        <w:rPr>
          <w:color w:val="000000" w:themeColor="text1"/>
        </w:rPr>
        <w:t>субконсолідованої</w:t>
      </w:r>
      <w:proofErr w:type="spellEnd"/>
      <w:r w:rsidR="0004128E" w:rsidRPr="00E52248">
        <w:rPr>
          <w:color w:val="000000" w:themeColor="text1"/>
        </w:rPr>
        <w:t xml:space="preserve"> звітності та інформації, установлених Положенням про порядок нагляду на консолідованій основі за небанківськими фінансовими групами, затве</w:t>
      </w:r>
      <w:r w:rsidR="008274ED" w:rsidRPr="00E52248">
        <w:rPr>
          <w:color w:val="000000" w:themeColor="text1"/>
        </w:rPr>
        <w:t>рджен</w:t>
      </w:r>
      <w:r w:rsidR="00046405">
        <w:rPr>
          <w:color w:val="000000" w:themeColor="text1"/>
        </w:rPr>
        <w:t>им</w:t>
      </w:r>
      <w:r w:rsidR="0004128E" w:rsidRPr="00E52248">
        <w:rPr>
          <w:color w:val="000000" w:themeColor="text1"/>
        </w:rPr>
        <w:t xml:space="preserve"> постановою Правління Національного банку </w:t>
      </w:r>
      <w:r w:rsidR="00F42973" w:rsidRPr="00E52248">
        <w:rPr>
          <w:color w:val="000000" w:themeColor="text1"/>
        </w:rPr>
        <w:t xml:space="preserve">України </w:t>
      </w:r>
      <w:r w:rsidR="0004128E" w:rsidRPr="00E52248">
        <w:rPr>
          <w:color w:val="000000" w:themeColor="text1"/>
        </w:rPr>
        <w:t>від 02 грудня 2021 року № 128.</w:t>
      </w:r>
    </w:p>
    <w:p w14:paraId="3AB17017" w14:textId="3B891434" w:rsidR="00626B72" w:rsidRPr="00E52248" w:rsidRDefault="00714CB7" w:rsidP="00E52248">
      <w:pPr>
        <w:spacing w:before="240" w:after="240"/>
        <w:ind w:firstLine="567"/>
        <w:rPr>
          <w:color w:val="000000" w:themeColor="text1"/>
        </w:rPr>
      </w:pPr>
      <w:r w:rsidRPr="00E52248">
        <w:rPr>
          <w:color w:val="000000" w:themeColor="text1"/>
        </w:rPr>
        <w:t>7</w:t>
      </w:r>
      <w:r w:rsidR="005D66F7" w:rsidRPr="00E52248">
        <w:rPr>
          <w:color w:val="000000" w:themeColor="text1"/>
        </w:rPr>
        <w:t>. Національний банк не застосовує заход</w:t>
      </w:r>
      <w:r w:rsidR="009F7B50">
        <w:rPr>
          <w:color w:val="000000" w:themeColor="text1"/>
        </w:rPr>
        <w:t>ів</w:t>
      </w:r>
      <w:r w:rsidR="005D66F7" w:rsidRPr="00E52248">
        <w:rPr>
          <w:color w:val="000000" w:themeColor="text1"/>
        </w:rPr>
        <w:t xml:space="preserve"> впливу за порушення, </w:t>
      </w:r>
      <w:r w:rsidR="002F200A" w:rsidRPr="00E52248">
        <w:rPr>
          <w:color w:val="000000" w:themeColor="text1"/>
        </w:rPr>
        <w:t>визначені</w:t>
      </w:r>
      <w:r w:rsidR="005D66F7" w:rsidRPr="00E52248">
        <w:rPr>
          <w:color w:val="000000" w:themeColor="text1"/>
        </w:rPr>
        <w:t xml:space="preserve"> </w:t>
      </w:r>
      <w:r w:rsidR="009F7B50">
        <w:rPr>
          <w:color w:val="000000" w:themeColor="text1"/>
        </w:rPr>
        <w:t xml:space="preserve">в </w:t>
      </w:r>
      <w:r w:rsidR="005D66F7" w:rsidRPr="00E52248">
        <w:rPr>
          <w:color w:val="000000" w:themeColor="text1"/>
        </w:rPr>
        <w:t>пункта</w:t>
      </w:r>
      <w:r w:rsidR="009F7B50">
        <w:rPr>
          <w:color w:val="000000" w:themeColor="text1"/>
        </w:rPr>
        <w:t>х</w:t>
      </w:r>
      <w:r w:rsidR="005D66F7" w:rsidRPr="00E52248">
        <w:rPr>
          <w:color w:val="000000" w:themeColor="text1"/>
        </w:rPr>
        <w:t xml:space="preserve"> 2</w:t>
      </w:r>
      <w:r w:rsidR="009F7B50">
        <w:rPr>
          <w:color w:val="000000" w:themeColor="text1"/>
        </w:rPr>
        <w:t>–</w:t>
      </w:r>
      <w:r w:rsidRPr="00E52248">
        <w:rPr>
          <w:color w:val="000000" w:themeColor="text1"/>
        </w:rPr>
        <w:t>6</w:t>
      </w:r>
      <w:r w:rsidR="005D66F7" w:rsidRPr="00E52248">
        <w:rPr>
          <w:color w:val="000000" w:themeColor="text1"/>
        </w:rPr>
        <w:t xml:space="preserve"> цієї постанови, за умови, що такі порушення виникли починаючи з 24 лютого 2022 року та спричинені негативним впливом військової агресії Російської Федерації проти України на </w:t>
      </w:r>
      <w:r w:rsidR="00410B22" w:rsidRPr="00E52248">
        <w:rPr>
          <w:color w:val="000000" w:themeColor="text1"/>
        </w:rPr>
        <w:t>діяльність</w:t>
      </w:r>
      <w:r w:rsidR="005D66F7" w:rsidRPr="00E52248">
        <w:rPr>
          <w:color w:val="000000" w:themeColor="text1"/>
        </w:rPr>
        <w:t xml:space="preserve"> </w:t>
      </w:r>
      <w:r w:rsidR="00262232" w:rsidRPr="00E52248">
        <w:rPr>
          <w:color w:val="000000" w:themeColor="text1"/>
        </w:rPr>
        <w:t xml:space="preserve">особи, зазначеної </w:t>
      </w:r>
      <w:r w:rsidR="00934AE0">
        <w:rPr>
          <w:color w:val="000000" w:themeColor="text1"/>
        </w:rPr>
        <w:t>в</w:t>
      </w:r>
      <w:r w:rsidR="00262232" w:rsidRPr="00E52248">
        <w:rPr>
          <w:color w:val="000000" w:themeColor="text1"/>
        </w:rPr>
        <w:t xml:space="preserve"> пункті 1 цієї постанови, </w:t>
      </w:r>
      <w:r w:rsidR="00A24C21" w:rsidRPr="00E52248">
        <w:rPr>
          <w:color w:val="000000" w:themeColor="text1"/>
        </w:rPr>
        <w:t xml:space="preserve">та/або </w:t>
      </w:r>
      <w:r w:rsidR="00471E84" w:rsidRPr="00E52248">
        <w:rPr>
          <w:color w:val="000000" w:themeColor="text1"/>
        </w:rPr>
        <w:t xml:space="preserve">її </w:t>
      </w:r>
      <w:r w:rsidR="00A24C21" w:rsidRPr="00E52248">
        <w:rPr>
          <w:color w:val="000000" w:themeColor="text1"/>
        </w:rPr>
        <w:t>боржників</w:t>
      </w:r>
      <w:r w:rsidR="005D66F7" w:rsidRPr="00E52248">
        <w:rPr>
          <w:color w:val="000000" w:themeColor="text1"/>
        </w:rPr>
        <w:t>/контрагентів</w:t>
      </w:r>
      <w:r w:rsidR="00A24C21" w:rsidRPr="00E52248">
        <w:rPr>
          <w:color w:val="000000" w:themeColor="text1"/>
        </w:rPr>
        <w:t>.</w:t>
      </w:r>
    </w:p>
    <w:p w14:paraId="4425E32B" w14:textId="674D3EC8" w:rsidR="00626B72" w:rsidRPr="00E52248" w:rsidRDefault="00714CB7" w:rsidP="00E52248">
      <w:pPr>
        <w:spacing w:before="240" w:after="240"/>
        <w:ind w:firstLine="567"/>
        <w:rPr>
          <w:color w:val="000000" w:themeColor="text1"/>
        </w:rPr>
      </w:pPr>
      <w:r w:rsidRPr="00E52248">
        <w:rPr>
          <w:color w:val="000000" w:themeColor="text1"/>
        </w:rPr>
        <w:lastRenderedPageBreak/>
        <w:t>8</w:t>
      </w:r>
      <w:r w:rsidR="0060094B" w:rsidRPr="00E52248">
        <w:rPr>
          <w:color w:val="000000" w:themeColor="text1"/>
        </w:rPr>
        <w:t xml:space="preserve">. </w:t>
      </w:r>
      <w:r w:rsidR="004C4B4B" w:rsidRPr="00E52248">
        <w:rPr>
          <w:color w:val="000000" w:themeColor="text1"/>
        </w:rPr>
        <w:t>Особі, зазначеній у пункті 1 цієї постанови</w:t>
      </w:r>
      <w:r w:rsidR="0060094B" w:rsidRPr="00E52248">
        <w:rPr>
          <w:color w:val="000000" w:themeColor="text1"/>
        </w:rPr>
        <w:t>/відповідальній особі небанківської фінансової групи,</w:t>
      </w:r>
      <w:r w:rsidR="004C4B4B" w:rsidRPr="00E52248">
        <w:rPr>
          <w:color w:val="000000" w:themeColor="text1"/>
        </w:rPr>
        <w:t xml:space="preserve"> у діяльності </w:t>
      </w:r>
      <w:r w:rsidR="0060094B" w:rsidRPr="00E52248">
        <w:rPr>
          <w:color w:val="000000" w:themeColor="text1"/>
        </w:rPr>
        <w:t>якої є порушення, зазначені в пунктах 2</w:t>
      </w:r>
      <w:r w:rsidR="000C5D45">
        <w:rPr>
          <w:color w:val="000000" w:themeColor="text1"/>
        </w:rPr>
        <w:t>–</w:t>
      </w:r>
      <w:r w:rsidRPr="00E52248">
        <w:rPr>
          <w:color w:val="000000" w:themeColor="text1"/>
        </w:rPr>
        <w:t>6</w:t>
      </w:r>
      <w:r w:rsidR="0060094B" w:rsidRPr="00E52248">
        <w:rPr>
          <w:color w:val="000000" w:themeColor="text1"/>
        </w:rPr>
        <w:t xml:space="preserve"> цієї постанови</w:t>
      </w:r>
      <w:r w:rsidR="00B014E4" w:rsidRPr="00E52248">
        <w:rPr>
          <w:color w:val="000000" w:themeColor="text1"/>
        </w:rPr>
        <w:t>,</w:t>
      </w:r>
      <w:r w:rsidR="0060094B" w:rsidRPr="00E52248">
        <w:rPr>
          <w:color w:val="000000" w:themeColor="text1"/>
        </w:rPr>
        <w:t xml:space="preserve"> протягом 14 календарних днів із дня </w:t>
      </w:r>
      <w:r w:rsidR="00B014E4" w:rsidRPr="00E52248">
        <w:rPr>
          <w:color w:val="000000" w:themeColor="text1"/>
        </w:rPr>
        <w:t>завершення дії Указу Президента України від 24 лютого 2022 року № 64/2022 “Про введення воєнного стану в Україні”</w:t>
      </w:r>
      <w:r w:rsidR="0060094B" w:rsidRPr="00E52248">
        <w:rPr>
          <w:color w:val="000000" w:themeColor="text1"/>
        </w:rPr>
        <w:t xml:space="preserve"> </w:t>
      </w:r>
      <w:r w:rsidR="008274ED" w:rsidRPr="00E52248">
        <w:rPr>
          <w:color w:val="000000" w:themeColor="text1"/>
        </w:rPr>
        <w:t xml:space="preserve">(далі </w:t>
      </w:r>
      <w:r w:rsidR="000C5D45">
        <w:rPr>
          <w:color w:val="000000" w:themeColor="text1"/>
        </w:rPr>
        <w:t>–</w:t>
      </w:r>
      <w:r w:rsidR="008274ED" w:rsidRPr="00E52248">
        <w:rPr>
          <w:color w:val="000000" w:themeColor="text1"/>
        </w:rPr>
        <w:t xml:space="preserve"> Указ 64/2022) </w:t>
      </w:r>
      <w:r w:rsidR="00080C43">
        <w:rPr>
          <w:color w:val="000000"/>
        </w:rPr>
        <w:t>на</w:t>
      </w:r>
      <w:r w:rsidR="00080C43" w:rsidRPr="0060094B">
        <w:rPr>
          <w:color w:val="000000"/>
        </w:rPr>
        <w:t>дати Національно</w:t>
      </w:r>
      <w:r w:rsidR="00080C43">
        <w:rPr>
          <w:color w:val="000000"/>
        </w:rPr>
        <w:t>му</w:t>
      </w:r>
      <w:r w:rsidR="00080C43" w:rsidRPr="0060094B">
        <w:rPr>
          <w:color w:val="000000"/>
        </w:rPr>
        <w:t xml:space="preserve"> </w:t>
      </w:r>
      <w:r w:rsidR="0060094B" w:rsidRPr="00E52248">
        <w:rPr>
          <w:color w:val="000000" w:themeColor="text1"/>
        </w:rPr>
        <w:t xml:space="preserve">банку інформацію про причини порушення та перелік визначених заходів, спрямованих на </w:t>
      </w:r>
      <w:r w:rsidR="007E35E5" w:rsidRPr="00E52248">
        <w:rPr>
          <w:color w:val="000000" w:themeColor="text1"/>
        </w:rPr>
        <w:t>усунення порушення</w:t>
      </w:r>
      <w:r w:rsidR="0060094B" w:rsidRPr="00E52248">
        <w:rPr>
          <w:color w:val="000000" w:themeColor="text1"/>
        </w:rPr>
        <w:t>.</w:t>
      </w:r>
    </w:p>
    <w:p w14:paraId="7C88C707" w14:textId="3CDAC88E" w:rsidR="00714CB7" w:rsidRPr="00E52248" w:rsidRDefault="00714CB7" w:rsidP="00E52248">
      <w:pPr>
        <w:spacing w:before="240" w:after="240"/>
        <w:ind w:firstLine="567"/>
        <w:rPr>
          <w:color w:val="000000" w:themeColor="text1"/>
        </w:rPr>
      </w:pPr>
      <w:r w:rsidRPr="00E52248">
        <w:rPr>
          <w:color w:val="000000" w:themeColor="text1"/>
        </w:rPr>
        <w:t>9. Страховик, на якого поширю</w:t>
      </w:r>
      <w:r w:rsidR="000C5D45">
        <w:rPr>
          <w:color w:val="000000" w:themeColor="text1"/>
        </w:rPr>
        <w:t>ються вимоги</w:t>
      </w:r>
      <w:r w:rsidRPr="00E52248">
        <w:rPr>
          <w:color w:val="000000" w:themeColor="text1"/>
        </w:rPr>
        <w:t xml:space="preserve"> пунктів 2, 3 цієї постанови, зобов’язаний дотримуватись обмежень, а саме</w:t>
      </w:r>
      <w:r w:rsidR="00486A13" w:rsidRPr="00B12667">
        <w:rPr>
          <w:color w:val="000000"/>
        </w:rPr>
        <w:t xml:space="preserve"> </w:t>
      </w:r>
      <w:r w:rsidR="00486A13" w:rsidRPr="008F1ACF">
        <w:rPr>
          <w:color w:val="000000"/>
        </w:rPr>
        <w:t>не здійснювати</w:t>
      </w:r>
      <w:r w:rsidRPr="00E52248">
        <w:rPr>
          <w:color w:val="000000" w:themeColor="text1"/>
        </w:rPr>
        <w:t>:</w:t>
      </w:r>
      <w:r w:rsidR="00D602CA" w:rsidRPr="00E52248">
        <w:rPr>
          <w:color w:val="000000" w:themeColor="text1"/>
        </w:rPr>
        <w:t xml:space="preserve"> </w:t>
      </w:r>
    </w:p>
    <w:p w14:paraId="264852A7" w14:textId="0B3D1EC4" w:rsidR="00714CB7" w:rsidRPr="00E52248" w:rsidRDefault="00714CB7" w:rsidP="00E52248">
      <w:pPr>
        <w:spacing w:before="240" w:after="240"/>
        <w:ind w:firstLine="567"/>
        <w:rPr>
          <w:color w:val="000000" w:themeColor="text1"/>
        </w:rPr>
      </w:pPr>
      <w:r w:rsidRPr="00E52248">
        <w:rPr>
          <w:color w:val="000000" w:themeColor="text1"/>
        </w:rPr>
        <w:t>1) виплати бонусів, премій та інших додаткових матеріальних винагород керівникам страховика, крім виплат, які є фіксованими складовими винагороди;</w:t>
      </w:r>
    </w:p>
    <w:p w14:paraId="3F9794EE" w14:textId="42D20617" w:rsidR="00714CB7" w:rsidRPr="00E52248" w:rsidRDefault="00714CB7" w:rsidP="00E52248">
      <w:pPr>
        <w:spacing w:before="240" w:after="240"/>
        <w:ind w:firstLine="567"/>
        <w:rPr>
          <w:color w:val="000000" w:themeColor="text1"/>
        </w:rPr>
      </w:pPr>
      <w:r w:rsidRPr="00E52248">
        <w:rPr>
          <w:color w:val="000000" w:themeColor="text1"/>
        </w:rPr>
        <w:t>2) виплати дивідендів акціонерам/учасникам, крім виплати дивідендів за привілейованими акціями;</w:t>
      </w:r>
    </w:p>
    <w:p w14:paraId="35393425" w14:textId="0E4085BD" w:rsidR="00714CB7" w:rsidRPr="00E52248" w:rsidRDefault="00714CB7" w:rsidP="00E52248">
      <w:pPr>
        <w:spacing w:before="240" w:after="240"/>
        <w:ind w:firstLine="567"/>
        <w:rPr>
          <w:color w:val="000000" w:themeColor="text1"/>
        </w:rPr>
      </w:pPr>
      <w:r w:rsidRPr="00E52248">
        <w:rPr>
          <w:color w:val="000000" w:themeColor="text1"/>
        </w:rPr>
        <w:t>3) операцій, які можуть призвести до невиконання нормативів платоспроможності та достатності капіталу та/або нормативу ризиковості операцій.</w:t>
      </w:r>
    </w:p>
    <w:p w14:paraId="6E92466E" w14:textId="1C551B4C" w:rsidR="00A14705" w:rsidRPr="00E52248" w:rsidRDefault="00714CB7" w:rsidP="00E52248">
      <w:pPr>
        <w:spacing w:before="240" w:after="240"/>
        <w:ind w:firstLine="567"/>
        <w:rPr>
          <w:color w:val="000000" w:themeColor="text1"/>
        </w:rPr>
      </w:pPr>
      <w:r w:rsidRPr="00E52248">
        <w:rPr>
          <w:color w:val="000000" w:themeColor="text1"/>
        </w:rPr>
        <w:t>10</w:t>
      </w:r>
      <w:r w:rsidR="00A0588B" w:rsidRPr="00E52248">
        <w:rPr>
          <w:color w:val="000000" w:themeColor="text1"/>
        </w:rPr>
        <w:t>.</w:t>
      </w:r>
      <w:r w:rsidR="00310C46" w:rsidRPr="00E52248">
        <w:rPr>
          <w:color w:val="000000" w:themeColor="text1"/>
        </w:rPr>
        <w:t xml:space="preserve"> Кредитна спілка, на яку поширю</w:t>
      </w:r>
      <w:r w:rsidR="009D5476">
        <w:rPr>
          <w:color w:val="000000" w:themeColor="text1"/>
        </w:rPr>
        <w:t>ються вимоги</w:t>
      </w:r>
      <w:r w:rsidR="00310C46" w:rsidRPr="00E52248">
        <w:rPr>
          <w:color w:val="000000" w:themeColor="text1"/>
        </w:rPr>
        <w:t xml:space="preserve"> пунктів 2, </w:t>
      </w:r>
      <w:r w:rsidRPr="00E52248">
        <w:rPr>
          <w:color w:val="000000" w:themeColor="text1"/>
        </w:rPr>
        <w:t>4</w:t>
      </w:r>
      <w:r w:rsidR="00310C46" w:rsidRPr="00E52248">
        <w:rPr>
          <w:color w:val="000000" w:themeColor="text1"/>
        </w:rPr>
        <w:t xml:space="preserve"> цієї постанови</w:t>
      </w:r>
      <w:r w:rsidR="00C3793F" w:rsidRPr="00E52248">
        <w:rPr>
          <w:color w:val="000000" w:themeColor="text1"/>
        </w:rPr>
        <w:t>, зобов’язана дотримуватись обмежень, а саме:</w:t>
      </w:r>
      <w:r w:rsidR="00D602CA" w:rsidRPr="00E52248">
        <w:rPr>
          <w:color w:val="000000" w:themeColor="text1"/>
        </w:rPr>
        <w:t xml:space="preserve"> </w:t>
      </w:r>
    </w:p>
    <w:p w14:paraId="7CA4E5BD" w14:textId="0804EDCE" w:rsidR="003F3176" w:rsidRPr="00E52248" w:rsidRDefault="00C3793F" w:rsidP="00E52248">
      <w:pPr>
        <w:spacing w:before="240" w:after="240"/>
        <w:ind w:firstLine="567"/>
        <w:rPr>
          <w:color w:val="000000" w:themeColor="text1"/>
        </w:rPr>
      </w:pPr>
      <w:r w:rsidRPr="00E52248">
        <w:rPr>
          <w:color w:val="000000" w:themeColor="text1"/>
        </w:rPr>
        <w:t xml:space="preserve">1) </w:t>
      </w:r>
      <w:r w:rsidR="008F1ACF" w:rsidRPr="00E52248">
        <w:rPr>
          <w:color w:val="000000" w:themeColor="text1"/>
        </w:rPr>
        <w:t xml:space="preserve">не здійснювати </w:t>
      </w:r>
      <w:r w:rsidR="003F3176" w:rsidRPr="00E52248">
        <w:rPr>
          <w:color w:val="000000" w:themeColor="text1"/>
        </w:rPr>
        <w:t>замін</w:t>
      </w:r>
      <w:r w:rsidR="00DE7CAA">
        <w:rPr>
          <w:color w:val="000000" w:themeColor="text1"/>
        </w:rPr>
        <w:t>и</w:t>
      </w:r>
      <w:r w:rsidR="003F3176" w:rsidRPr="00E52248">
        <w:rPr>
          <w:color w:val="000000" w:themeColor="text1"/>
        </w:rPr>
        <w:t xml:space="preserve"> забезпечення за </w:t>
      </w:r>
      <w:r w:rsidR="00A070F7" w:rsidRPr="00E52248">
        <w:rPr>
          <w:color w:val="000000" w:themeColor="text1"/>
        </w:rPr>
        <w:t>кредитними договорами</w:t>
      </w:r>
      <w:r w:rsidR="003F3176" w:rsidRPr="00E52248">
        <w:rPr>
          <w:color w:val="000000" w:themeColor="text1"/>
        </w:rPr>
        <w:t xml:space="preserve">, якщо така заміна призводить до збільшення розміру </w:t>
      </w:r>
      <w:r w:rsidR="00A070F7" w:rsidRPr="00E52248">
        <w:rPr>
          <w:color w:val="000000" w:themeColor="text1"/>
        </w:rPr>
        <w:t xml:space="preserve">резерву забезпечення покриття втрат від неповернених позичок за таким </w:t>
      </w:r>
      <w:r w:rsidR="00086928" w:rsidRPr="00E52248">
        <w:rPr>
          <w:color w:val="000000" w:themeColor="text1"/>
        </w:rPr>
        <w:t>кредитним договором</w:t>
      </w:r>
      <w:r w:rsidR="003F3176" w:rsidRPr="00E52248">
        <w:rPr>
          <w:color w:val="000000" w:themeColor="text1"/>
        </w:rPr>
        <w:t>;</w:t>
      </w:r>
    </w:p>
    <w:p w14:paraId="5D0E868F" w14:textId="77777777" w:rsidR="00A0588B" w:rsidRPr="00E52248" w:rsidRDefault="003F3176" w:rsidP="00E52248">
      <w:pPr>
        <w:spacing w:before="240" w:after="240"/>
        <w:ind w:firstLine="567"/>
        <w:rPr>
          <w:color w:val="000000" w:themeColor="text1"/>
        </w:rPr>
      </w:pPr>
      <w:r w:rsidRPr="00E52248">
        <w:rPr>
          <w:color w:val="000000" w:themeColor="text1"/>
        </w:rPr>
        <w:t xml:space="preserve">2) </w:t>
      </w:r>
      <w:r w:rsidR="008F1ACF" w:rsidRPr="00E52248">
        <w:rPr>
          <w:color w:val="000000" w:themeColor="text1"/>
        </w:rPr>
        <w:t xml:space="preserve">не здійснювати </w:t>
      </w:r>
      <w:r w:rsidR="00C3793F" w:rsidRPr="00E52248">
        <w:rPr>
          <w:color w:val="000000" w:themeColor="text1"/>
        </w:rPr>
        <w:t>виплати бонусів, премій та інших додаткових матеріальних винагород керівникам кредитної спілки, крім виплат, які є фі</w:t>
      </w:r>
      <w:r w:rsidR="00435831" w:rsidRPr="00E52248">
        <w:rPr>
          <w:color w:val="000000" w:themeColor="text1"/>
        </w:rPr>
        <w:t>ксованими складовими винагороди;</w:t>
      </w:r>
    </w:p>
    <w:p w14:paraId="114D0261" w14:textId="77777777" w:rsidR="008F1ACF" w:rsidRPr="00E52248" w:rsidRDefault="00435831" w:rsidP="00E52248">
      <w:pPr>
        <w:spacing w:before="240" w:after="240"/>
        <w:ind w:firstLine="567"/>
        <w:rPr>
          <w:color w:val="000000" w:themeColor="text1"/>
        </w:rPr>
      </w:pPr>
      <w:r w:rsidRPr="00E52248">
        <w:rPr>
          <w:color w:val="000000" w:themeColor="text1"/>
        </w:rPr>
        <w:t xml:space="preserve">3) </w:t>
      </w:r>
      <w:r w:rsidR="008F1ACF" w:rsidRPr="00E52248">
        <w:rPr>
          <w:color w:val="000000" w:themeColor="text1"/>
        </w:rPr>
        <w:t xml:space="preserve">не здійснювати </w:t>
      </w:r>
      <w:r w:rsidRPr="00E52248">
        <w:rPr>
          <w:color w:val="000000" w:themeColor="text1"/>
        </w:rPr>
        <w:t>збільшення обсягів капітальних інвестицій за основними засобами та нематеріальними активами</w:t>
      </w:r>
      <w:r w:rsidR="00CC43F8" w:rsidRPr="00E52248">
        <w:rPr>
          <w:color w:val="000000" w:themeColor="text1"/>
        </w:rPr>
        <w:t>, які забезпечують діяльність кредитної спілки, але не дають доходу, крім нерухомого майна, що перейшло у власність кредитної спілки на підставі реалізації прав заставодержателя відповідно до умов договору застави</w:t>
      </w:r>
      <w:r w:rsidR="008F1ACF" w:rsidRPr="00E52248">
        <w:rPr>
          <w:color w:val="000000" w:themeColor="text1"/>
        </w:rPr>
        <w:t>;</w:t>
      </w:r>
    </w:p>
    <w:p w14:paraId="52610254" w14:textId="4023BE58" w:rsidR="00435831" w:rsidRPr="00E52248" w:rsidRDefault="008F1ACF" w:rsidP="00E52248">
      <w:pPr>
        <w:spacing w:before="240" w:after="240"/>
        <w:ind w:firstLine="567"/>
        <w:rPr>
          <w:color w:val="000000" w:themeColor="text1"/>
        </w:rPr>
      </w:pPr>
      <w:r w:rsidRPr="00E52248">
        <w:rPr>
          <w:color w:val="000000" w:themeColor="text1"/>
          <w:lang w:val="ru-RU"/>
        </w:rPr>
        <w:t xml:space="preserve">4) </w:t>
      </w:r>
      <w:r w:rsidRPr="00E52248">
        <w:rPr>
          <w:color w:val="000000" w:themeColor="text1"/>
        </w:rPr>
        <w:t>дотримуватис</w:t>
      </w:r>
      <w:r w:rsidR="00AF2AC1">
        <w:rPr>
          <w:color w:val="000000" w:themeColor="text1"/>
        </w:rPr>
        <w:t>я</w:t>
      </w:r>
      <w:r w:rsidRPr="00E52248">
        <w:rPr>
          <w:color w:val="000000" w:themeColor="text1"/>
        </w:rPr>
        <w:t xml:space="preserve"> вимог пункту 1</w:t>
      </w:r>
      <w:r w:rsidR="00171EC5" w:rsidRPr="00E52248">
        <w:rPr>
          <w:color w:val="000000" w:themeColor="text1"/>
        </w:rPr>
        <w:t>6</w:t>
      </w:r>
      <w:r w:rsidRPr="00E52248">
        <w:rPr>
          <w:color w:val="000000" w:themeColor="text1"/>
        </w:rPr>
        <w:t xml:space="preserve"> цієї постанови.</w:t>
      </w:r>
      <w:r w:rsidR="00435831" w:rsidRPr="00E52248">
        <w:rPr>
          <w:color w:val="000000" w:themeColor="text1"/>
        </w:rPr>
        <w:t xml:space="preserve"> </w:t>
      </w:r>
    </w:p>
    <w:p w14:paraId="6EA3281B" w14:textId="7CF60ABB" w:rsidR="003A70CC" w:rsidRPr="00E52248" w:rsidRDefault="00714CB7" w:rsidP="00E52248">
      <w:pPr>
        <w:spacing w:before="240" w:after="240"/>
        <w:ind w:firstLine="567"/>
        <w:rPr>
          <w:color w:val="000000" w:themeColor="text1"/>
        </w:rPr>
      </w:pPr>
      <w:r w:rsidRPr="00E52248">
        <w:rPr>
          <w:color w:val="000000" w:themeColor="text1"/>
        </w:rPr>
        <w:t>11</w:t>
      </w:r>
      <w:r w:rsidR="003A70CC" w:rsidRPr="00E52248">
        <w:rPr>
          <w:color w:val="000000" w:themeColor="text1"/>
        </w:rPr>
        <w:t>. Небанківська фінансова установа, на яку поширю</w:t>
      </w:r>
      <w:r w:rsidR="00AF2AC1">
        <w:rPr>
          <w:color w:val="000000" w:themeColor="text1"/>
        </w:rPr>
        <w:t>ються вимоги</w:t>
      </w:r>
      <w:r w:rsidR="003A70CC" w:rsidRPr="00E52248">
        <w:rPr>
          <w:color w:val="000000" w:themeColor="text1"/>
        </w:rPr>
        <w:t xml:space="preserve"> пункту </w:t>
      </w:r>
      <w:r w:rsidRPr="00E52248">
        <w:rPr>
          <w:color w:val="000000" w:themeColor="text1"/>
        </w:rPr>
        <w:t xml:space="preserve">5 </w:t>
      </w:r>
      <w:r w:rsidR="003A70CC" w:rsidRPr="00E52248">
        <w:rPr>
          <w:color w:val="000000" w:themeColor="text1"/>
        </w:rPr>
        <w:t xml:space="preserve">цієї постанови, зобов’язана дотримуватись обмежень, а саме не здійснювати </w:t>
      </w:r>
      <w:r w:rsidR="007B09B6" w:rsidRPr="00E52248">
        <w:rPr>
          <w:color w:val="000000" w:themeColor="text1"/>
        </w:rPr>
        <w:t>виплат</w:t>
      </w:r>
      <w:r w:rsidR="00AF2AC1">
        <w:rPr>
          <w:color w:val="000000" w:themeColor="text1"/>
        </w:rPr>
        <w:t>и</w:t>
      </w:r>
      <w:r w:rsidR="007B09B6" w:rsidRPr="00E52248">
        <w:rPr>
          <w:color w:val="000000" w:themeColor="text1"/>
        </w:rPr>
        <w:t xml:space="preserve"> бонусів, премій та інших додаткових матеріальних винагород керівникам небанківської фінансової установи, крім виплат, які є фі</w:t>
      </w:r>
      <w:r w:rsidR="008F1ACF" w:rsidRPr="00E52248">
        <w:rPr>
          <w:color w:val="000000" w:themeColor="text1"/>
        </w:rPr>
        <w:t>ксованими складовими винагороди, а також дотримуватис</w:t>
      </w:r>
      <w:r w:rsidR="00AF2AC1">
        <w:rPr>
          <w:color w:val="000000" w:themeColor="text1"/>
        </w:rPr>
        <w:t>я</w:t>
      </w:r>
      <w:r w:rsidR="008F1ACF" w:rsidRPr="00E52248">
        <w:rPr>
          <w:color w:val="000000" w:themeColor="text1"/>
        </w:rPr>
        <w:t xml:space="preserve"> вимог пункту 1</w:t>
      </w:r>
      <w:r w:rsidR="00171EC5" w:rsidRPr="00E52248">
        <w:rPr>
          <w:color w:val="000000" w:themeColor="text1"/>
        </w:rPr>
        <w:t>7</w:t>
      </w:r>
      <w:r w:rsidR="008F1ACF" w:rsidRPr="00E52248">
        <w:rPr>
          <w:color w:val="000000" w:themeColor="text1"/>
        </w:rPr>
        <w:t xml:space="preserve"> цієї постанови.</w:t>
      </w:r>
    </w:p>
    <w:p w14:paraId="04467A9D" w14:textId="49A66A4A" w:rsidR="00755637" w:rsidRPr="00E52248" w:rsidRDefault="00E54715" w:rsidP="00E52248">
      <w:pPr>
        <w:spacing w:before="240" w:after="240"/>
        <w:ind w:firstLine="567"/>
        <w:rPr>
          <w:color w:val="000000" w:themeColor="text1"/>
        </w:rPr>
      </w:pPr>
      <w:r w:rsidRPr="00E52248">
        <w:rPr>
          <w:color w:val="000000" w:themeColor="text1"/>
        </w:rPr>
        <w:lastRenderedPageBreak/>
        <w:t>1</w:t>
      </w:r>
      <w:r w:rsidR="00714CB7" w:rsidRPr="00E52248">
        <w:rPr>
          <w:color w:val="000000" w:themeColor="text1"/>
        </w:rPr>
        <w:t>2</w:t>
      </w:r>
      <w:r w:rsidR="00755637" w:rsidRPr="00E52248">
        <w:rPr>
          <w:color w:val="000000" w:themeColor="text1"/>
        </w:rPr>
        <w:t xml:space="preserve">. Національний банк має право прийняти рішення про застосування до </w:t>
      </w:r>
      <w:r w:rsidR="00DD6136" w:rsidRPr="00E52248">
        <w:rPr>
          <w:color w:val="000000" w:themeColor="text1"/>
        </w:rPr>
        <w:t xml:space="preserve">особи, зазначеної </w:t>
      </w:r>
      <w:r w:rsidR="00AF2AC1">
        <w:rPr>
          <w:color w:val="000000" w:themeColor="text1"/>
        </w:rPr>
        <w:t>в</w:t>
      </w:r>
      <w:r w:rsidR="00DD6136" w:rsidRPr="00E52248">
        <w:rPr>
          <w:color w:val="000000" w:themeColor="text1"/>
        </w:rPr>
        <w:t xml:space="preserve"> пункті 1 цієї постанови, </w:t>
      </w:r>
      <w:r w:rsidR="00755637" w:rsidRPr="00E52248">
        <w:rPr>
          <w:color w:val="000000" w:themeColor="text1"/>
        </w:rPr>
        <w:t>відповідальної особи</w:t>
      </w:r>
      <w:r w:rsidR="00DD6136" w:rsidRPr="00E52248">
        <w:rPr>
          <w:color w:val="000000" w:themeColor="text1"/>
        </w:rPr>
        <w:t xml:space="preserve"> небанківської фінансової групи</w:t>
      </w:r>
      <w:r w:rsidR="00755637" w:rsidRPr="00E52248">
        <w:rPr>
          <w:color w:val="000000" w:themeColor="text1"/>
        </w:rPr>
        <w:t xml:space="preserve">, інших учасників небанківської фінансової групи заходів впливу в разі невиконання вимог цієї постанови та/або якщо надана інформація не забезпечує доведення того, що порушення, зазначені в пунктах </w:t>
      </w:r>
      <w:r w:rsidR="00801FCC" w:rsidRPr="00E52248">
        <w:rPr>
          <w:color w:val="000000" w:themeColor="text1"/>
        </w:rPr>
        <w:t>2</w:t>
      </w:r>
      <w:r w:rsidR="004009CE">
        <w:rPr>
          <w:color w:val="000000" w:themeColor="text1"/>
        </w:rPr>
        <w:t>–</w:t>
      </w:r>
      <w:r w:rsidR="00714CB7" w:rsidRPr="00E52248">
        <w:rPr>
          <w:color w:val="000000" w:themeColor="text1"/>
        </w:rPr>
        <w:t>6</w:t>
      </w:r>
      <w:r w:rsidR="00755637" w:rsidRPr="00E52248">
        <w:rPr>
          <w:color w:val="000000" w:themeColor="text1"/>
        </w:rPr>
        <w:t xml:space="preserve"> цієї постанови, спричинені негативним впливом наслідків військової агресії Російської Федерації на </w:t>
      </w:r>
      <w:r w:rsidR="00DD6136" w:rsidRPr="00E52248">
        <w:rPr>
          <w:color w:val="000000" w:themeColor="text1"/>
        </w:rPr>
        <w:t>діяльність</w:t>
      </w:r>
      <w:r w:rsidR="00755637" w:rsidRPr="00E52248">
        <w:rPr>
          <w:color w:val="000000" w:themeColor="text1"/>
        </w:rPr>
        <w:t xml:space="preserve"> </w:t>
      </w:r>
      <w:r w:rsidR="00DD6136" w:rsidRPr="00E52248">
        <w:rPr>
          <w:color w:val="000000" w:themeColor="text1"/>
        </w:rPr>
        <w:t>особи, зазначеної в пункті 1 цієї постанови</w:t>
      </w:r>
      <w:r w:rsidR="00BE7795" w:rsidRPr="00E52248">
        <w:rPr>
          <w:color w:val="000000" w:themeColor="text1"/>
        </w:rPr>
        <w:t>,</w:t>
      </w:r>
      <w:r w:rsidR="00801FCC" w:rsidRPr="00E52248">
        <w:rPr>
          <w:color w:val="000000" w:themeColor="text1"/>
        </w:rPr>
        <w:t xml:space="preserve"> </w:t>
      </w:r>
      <w:r w:rsidR="00755637" w:rsidRPr="00E52248">
        <w:rPr>
          <w:color w:val="000000" w:themeColor="text1"/>
        </w:rPr>
        <w:t xml:space="preserve">та/або </w:t>
      </w:r>
      <w:r w:rsidR="00DD6136" w:rsidRPr="00E52248">
        <w:rPr>
          <w:color w:val="000000" w:themeColor="text1"/>
        </w:rPr>
        <w:t xml:space="preserve">її </w:t>
      </w:r>
      <w:r w:rsidR="00755637" w:rsidRPr="00E52248">
        <w:rPr>
          <w:color w:val="000000" w:themeColor="text1"/>
        </w:rPr>
        <w:t>боржників/контрагентів.</w:t>
      </w:r>
    </w:p>
    <w:p w14:paraId="1EDA949B" w14:textId="77777777" w:rsidR="0052404C" w:rsidRPr="00E52248" w:rsidRDefault="001565EC" w:rsidP="00E52248">
      <w:pPr>
        <w:spacing w:before="240" w:after="240"/>
        <w:ind w:firstLine="567"/>
        <w:rPr>
          <w:color w:val="000000" w:themeColor="text1"/>
        </w:rPr>
      </w:pPr>
      <w:r w:rsidRPr="00E52248">
        <w:rPr>
          <w:color w:val="000000" w:themeColor="text1"/>
        </w:rPr>
        <w:t>1</w:t>
      </w:r>
      <w:r w:rsidR="00775741" w:rsidRPr="00E52248">
        <w:rPr>
          <w:color w:val="000000" w:themeColor="text1"/>
        </w:rPr>
        <w:t>3</w:t>
      </w:r>
      <w:r w:rsidRPr="00E52248">
        <w:rPr>
          <w:color w:val="000000" w:themeColor="text1"/>
        </w:rPr>
        <w:t xml:space="preserve">. </w:t>
      </w:r>
      <w:r w:rsidR="0052404C" w:rsidRPr="00E52248">
        <w:rPr>
          <w:color w:val="000000" w:themeColor="text1"/>
        </w:rPr>
        <w:t xml:space="preserve">Кредитні спілки мають право не видавати: </w:t>
      </w:r>
    </w:p>
    <w:p w14:paraId="4283C14B" w14:textId="77777777" w:rsidR="0052404C" w:rsidRPr="00E52248" w:rsidRDefault="0052404C" w:rsidP="00E52248">
      <w:pPr>
        <w:spacing w:before="240" w:after="240"/>
        <w:ind w:firstLine="567"/>
        <w:rPr>
          <w:color w:val="000000" w:themeColor="text1"/>
        </w:rPr>
      </w:pPr>
      <w:r w:rsidRPr="00E52248">
        <w:rPr>
          <w:color w:val="000000" w:themeColor="text1"/>
        </w:rPr>
        <w:t xml:space="preserve">1) внески (вклади) за договорами про залучення строкового внеску (вкладу) та нараховані проценти за цими внесками (вкладами) до закінчення строку їх дії; </w:t>
      </w:r>
    </w:p>
    <w:p w14:paraId="539B42EC" w14:textId="77777777" w:rsidR="0052404C" w:rsidRPr="00E52248" w:rsidRDefault="0052404C" w:rsidP="00E52248">
      <w:pPr>
        <w:spacing w:before="240" w:after="240"/>
        <w:ind w:firstLine="567"/>
        <w:rPr>
          <w:color w:val="000000" w:themeColor="text1"/>
        </w:rPr>
      </w:pPr>
      <w:r w:rsidRPr="00E52248">
        <w:rPr>
          <w:color w:val="000000" w:themeColor="text1"/>
        </w:rPr>
        <w:t xml:space="preserve">2) додаткові пайові внески членам кредитної спілки в разі звернення про їх видачу. </w:t>
      </w:r>
    </w:p>
    <w:p w14:paraId="06632810" w14:textId="77777777" w:rsidR="0052404C" w:rsidRPr="00E52248" w:rsidRDefault="0052404C" w:rsidP="00E52248">
      <w:pPr>
        <w:spacing w:before="240" w:after="240"/>
        <w:ind w:firstLine="567"/>
        <w:rPr>
          <w:color w:val="000000" w:themeColor="text1"/>
        </w:rPr>
      </w:pPr>
      <w:r w:rsidRPr="00E52248">
        <w:rPr>
          <w:color w:val="000000" w:themeColor="text1"/>
        </w:rPr>
        <w:t>1</w:t>
      </w:r>
      <w:r w:rsidR="00775741" w:rsidRPr="00E52248">
        <w:rPr>
          <w:color w:val="000000" w:themeColor="text1"/>
        </w:rPr>
        <w:t>4</w:t>
      </w:r>
      <w:r w:rsidRPr="00E52248">
        <w:rPr>
          <w:color w:val="000000" w:themeColor="text1"/>
        </w:rPr>
        <w:t xml:space="preserve">. Кредитні спілки обмежують видачу готівкових грошових коштів у національній валюті України в обсязі не більше 100 000 грн кожному члену кредитної спілки на добу. </w:t>
      </w:r>
    </w:p>
    <w:p w14:paraId="25049680" w14:textId="10487D71" w:rsidR="007E35E5" w:rsidRPr="00E52248" w:rsidRDefault="000D63BD" w:rsidP="00E52248">
      <w:pPr>
        <w:spacing w:before="240" w:after="240"/>
        <w:ind w:firstLine="567"/>
        <w:rPr>
          <w:color w:val="000000" w:themeColor="text1"/>
        </w:rPr>
      </w:pPr>
      <w:r w:rsidRPr="00E52248">
        <w:rPr>
          <w:color w:val="000000" w:themeColor="text1"/>
        </w:rPr>
        <w:t>1</w:t>
      </w:r>
      <w:r w:rsidR="00775741" w:rsidRPr="00E52248">
        <w:rPr>
          <w:color w:val="000000" w:themeColor="text1"/>
        </w:rPr>
        <w:t>5</w:t>
      </w:r>
      <w:r w:rsidR="0052404C" w:rsidRPr="00E52248">
        <w:rPr>
          <w:color w:val="000000" w:themeColor="text1"/>
        </w:rPr>
        <w:t xml:space="preserve">. Кредитні спілки мають право встановлювати граничну суму видачі готівкових грошових коштів у національній валюті України на добу на кожного члена кредитної спілки за умови дотримання обмеження, передбаченого </w:t>
      </w:r>
      <w:r w:rsidR="004009CE">
        <w:rPr>
          <w:color w:val="000000" w:themeColor="text1"/>
        </w:rPr>
        <w:t xml:space="preserve">в </w:t>
      </w:r>
      <w:r w:rsidR="0052404C" w:rsidRPr="00E52248">
        <w:rPr>
          <w:color w:val="000000" w:themeColor="text1"/>
        </w:rPr>
        <w:t>пункт</w:t>
      </w:r>
      <w:r w:rsidR="004009CE">
        <w:rPr>
          <w:color w:val="000000" w:themeColor="text1"/>
        </w:rPr>
        <w:t>і</w:t>
      </w:r>
      <w:r w:rsidR="0052404C" w:rsidRPr="00E52248">
        <w:rPr>
          <w:color w:val="000000" w:themeColor="text1"/>
        </w:rPr>
        <w:t xml:space="preserve"> 1</w:t>
      </w:r>
      <w:r w:rsidR="00171EC5" w:rsidRPr="00E52248">
        <w:rPr>
          <w:color w:val="000000" w:themeColor="text1"/>
        </w:rPr>
        <w:t>4</w:t>
      </w:r>
      <w:r w:rsidR="0052404C" w:rsidRPr="00E52248">
        <w:rPr>
          <w:color w:val="000000" w:themeColor="text1"/>
        </w:rPr>
        <w:t xml:space="preserve"> цієї постанови.</w:t>
      </w:r>
    </w:p>
    <w:p w14:paraId="3C0E782E" w14:textId="77777777" w:rsidR="00D94F02" w:rsidRPr="00E52248" w:rsidRDefault="00D94F02" w:rsidP="00E52248">
      <w:pPr>
        <w:spacing w:before="240" w:after="240"/>
        <w:ind w:firstLine="567"/>
        <w:rPr>
          <w:color w:val="000000" w:themeColor="text1"/>
        </w:rPr>
      </w:pPr>
      <w:r w:rsidRPr="00E52248">
        <w:rPr>
          <w:color w:val="000000" w:themeColor="text1"/>
        </w:rPr>
        <w:t>1</w:t>
      </w:r>
      <w:r w:rsidR="00775741" w:rsidRPr="00E52248">
        <w:rPr>
          <w:color w:val="000000" w:themeColor="text1"/>
        </w:rPr>
        <w:t>6</w:t>
      </w:r>
      <w:r w:rsidRPr="00E52248">
        <w:rPr>
          <w:color w:val="000000" w:themeColor="text1"/>
        </w:rPr>
        <w:t>. Кредитним спілкам заборонити:</w:t>
      </w:r>
    </w:p>
    <w:p w14:paraId="122541B9" w14:textId="48010263" w:rsidR="00D94F02" w:rsidRPr="00E52248" w:rsidRDefault="00D94F02" w:rsidP="00E52248">
      <w:pPr>
        <w:spacing w:before="240" w:after="240"/>
        <w:ind w:firstLine="567"/>
        <w:rPr>
          <w:color w:val="000000" w:themeColor="text1"/>
        </w:rPr>
      </w:pPr>
      <w:r w:rsidRPr="00E52248">
        <w:rPr>
          <w:color w:val="000000" w:themeColor="text1"/>
        </w:rPr>
        <w:t xml:space="preserve">1) здійснення операцій із пов’язаними з </w:t>
      </w:r>
      <w:r w:rsidR="002858E2" w:rsidRPr="00E52248">
        <w:rPr>
          <w:color w:val="000000" w:themeColor="text1"/>
        </w:rPr>
        <w:t>кредитною спілкою</w:t>
      </w:r>
      <w:r w:rsidRPr="00E52248">
        <w:rPr>
          <w:color w:val="000000" w:themeColor="text1"/>
        </w:rPr>
        <w:t xml:space="preserve"> особами </w:t>
      </w:r>
      <w:r w:rsidR="00BF22B4">
        <w:rPr>
          <w:color w:val="000000" w:themeColor="text1"/>
        </w:rPr>
        <w:t>в</w:t>
      </w:r>
      <w:r w:rsidRPr="00E52248">
        <w:rPr>
          <w:color w:val="000000" w:themeColor="text1"/>
        </w:rPr>
        <w:t xml:space="preserve"> частині укладання нових кредитних договорів, укладання договорів про внесення змін до кредитних договорів щодо збільшення строків користування активам</w:t>
      </w:r>
      <w:r w:rsidR="002858E2" w:rsidRPr="00E52248">
        <w:rPr>
          <w:color w:val="000000" w:themeColor="text1"/>
        </w:rPr>
        <w:t>и та/або збільшення сум кредиту</w:t>
      </w:r>
      <w:r w:rsidRPr="00E52248">
        <w:rPr>
          <w:color w:val="000000" w:themeColor="text1"/>
        </w:rPr>
        <w:t>;</w:t>
      </w:r>
    </w:p>
    <w:p w14:paraId="3A5714D9" w14:textId="77777777" w:rsidR="002858E2" w:rsidRPr="00E52248" w:rsidRDefault="00D94F02" w:rsidP="00E52248">
      <w:pPr>
        <w:spacing w:before="240" w:after="240"/>
        <w:ind w:firstLine="567"/>
        <w:rPr>
          <w:color w:val="000000" w:themeColor="text1"/>
        </w:rPr>
      </w:pPr>
      <w:r w:rsidRPr="00E52248">
        <w:rPr>
          <w:color w:val="000000" w:themeColor="text1"/>
        </w:rPr>
        <w:t xml:space="preserve">2) дострокове повернення </w:t>
      </w:r>
      <w:r w:rsidR="002858E2" w:rsidRPr="00E52248">
        <w:rPr>
          <w:color w:val="000000" w:themeColor="text1"/>
        </w:rPr>
        <w:t>внесків (вкладів) членам кредитної спілки, які є пов’язаними з кредитною спілкою особами, за договорами про залучення строкового внеску (вкладу) та нараховані проценти за цими внесками (вкладами) до закінчення строку їх дії;</w:t>
      </w:r>
    </w:p>
    <w:p w14:paraId="39C79CFA" w14:textId="69C55B7E" w:rsidR="002858E2" w:rsidRPr="00E52248" w:rsidRDefault="002858E2" w:rsidP="00E52248">
      <w:pPr>
        <w:spacing w:before="240" w:after="240"/>
        <w:ind w:firstLine="567"/>
        <w:rPr>
          <w:color w:val="000000" w:themeColor="text1"/>
        </w:rPr>
      </w:pPr>
      <w:r w:rsidRPr="00E52248">
        <w:rPr>
          <w:color w:val="000000" w:themeColor="text1"/>
        </w:rPr>
        <w:t xml:space="preserve">3) видачу додаткових пайових внесків членам кредитної спілки, які є пов’язаними з кредитною спілкою особами, </w:t>
      </w:r>
      <w:r w:rsidR="00BF22B4">
        <w:rPr>
          <w:color w:val="000000" w:themeColor="text1"/>
        </w:rPr>
        <w:t>у</w:t>
      </w:r>
      <w:r w:rsidRPr="00E52248">
        <w:rPr>
          <w:color w:val="000000" w:themeColor="text1"/>
        </w:rPr>
        <w:t xml:space="preserve"> разі звернення про їх видачу</w:t>
      </w:r>
      <w:r w:rsidR="00694925" w:rsidRPr="00E52248">
        <w:rPr>
          <w:color w:val="000000" w:themeColor="text1"/>
        </w:rPr>
        <w:t>;</w:t>
      </w:r>
    </w:p>
    <w:p w14:paraId="39DDFBFC" w14:textId="5353CE35" w:rsidR="00694925" w:rsidRPr="00E52248" w:rsidRDefault="00694925" w:rsidP="00E52248">
      <w:pPr>
        <w:spacing w:before="240" w:after="240"/>
        <w:ind w:firstLine="567"/>
        <w:rPr>
          <w:color w:val="000000" w:themeColor="text1"/>
        </w:rPr>
      </w:pPr>
      <w:r w:rsidRPr="00E52248">
        <w:rPr>
          <w:color w:val="000000" w:themeColor="text1"/>
        </w:rPr>
        <w:t>4) здійснювати розподіл нерозподіленого прибутку в будь-якій формі (</w:t>
      </w:r>
      <w:r w:rsidR="00BF22B4">
        <w:rPr>
          <w:color w:val="000000" w:themeColor="text1"/>
        </w:rPr>
        <w:t>у</w:t>
      </w:r>
      <w:r w:rsidRPr="00E52248">
        <w:rPr>
          <w:color w:val="000000" w:themeColor="text1"/>
        </w:rPr>
        <w:t xml:space="preserve">ключаючи на пайові внески у вигляді процентів), крім спрямування такого прибутку на збільшення резервного капіталу. </w:t>
      </w:r>
    </w:p>
    <w:p w14:paraId="1418D23C" w14:textId="511AB480" w:rsidR="006627CF" w:rsidRPr="00E52248" w:rsidRDefault="006627CF" w:rsidP="00E52248">
      <w:pPr>
        <w:spacing w:before="240" w:after="240"/>
        <w:ind w:firstLine="567"/>
        <w:rPr>
          <w:color w:val="000000" w:themeColor="text1"/>
        </w:rPr>
      </w:pPr>
      <w:r w:rsidRPr="00E52248">
        <w:rPr>
          <w:color w:val="000000" w:themeColor="text1"/>
        </w:rPr>
        <w:lastRenderedPageBreak/>
        <w:t>1</w:t>
      </w:r>
      <w:r w:rsidR="00775741" w:rsidRPr="00E52248">
        <w:rPr>
          <w:color w:val="000000" w:themeColor="text1"/>
        </w:rPr>
        <w:t>7</w:t>
      </w:r>
      <w:r w:rsidRPr="00E52248">
        <w:rPr>
          <w:color w:val="000000" w:themeColor="text1"/>
        </w:rPr>
        <w:t xml:space="preserve">. </w:t>
      </w:r>
      <w:r w:rsidR="00995474" w:rsidRPr="00E52248">
        <w:rPr>
          <w:color w:val="000000" w:themeColor="text1"/>
        </w:rPr>
        <w:t>Небанківським фінансовим установам</w:t>
      </w:r>
      <w:r w:rsidR="00426DF0" w:rsidRPr="00E52248">
        <w:rPr>
          <w:color w:val="000000" w:themeColor="text1"/>
        </w:rPr>
        <w:t xml:space="preserve">, які отримали ліцензію на провадження господарської діяльності з надання гарантій, заборонити здійснення операцій із пов’язаними особами </w:t>
      </w:r>
      <w:r w:rsidR="00BF22B4">
        <w:rPr>
          <w:color w:val="000000" w:themeColor="text1"/>
        </w:rPr>
        <w:t>в</w:t>
      </w:r>
      <w:r w:rsidR="00426DF0" w:rsidRPr="00E52248">
        <w:rPr>
          <w:color w:val="000000" w:themeColor="text1"/>
        </w:rPr>
        <w:t xml:space="preserve"> частині укладання нових договорів про надання гарантій, укладання договорів про внесення змін до договорів про надання гарантій щодо збільшення строків користування гарантією та/або збільшення </w:t>
      </w:r>
      <w:r w:rsidR="00172A2E" w:rsidRPr="00E52248">
        <w:rPr>
          <w:color w:val="000000" w:themeColor="text1"/>
        </w:rPr>
        <w:t>розміру</w:t>
      </w:r>
      <w:r w:rsidR="00426DF0" w:rsidRPr="00E52248">
        <w:rPr>
          <w:color w:val="000000" w:themeColor="text1"/>
        </w:rPr>
        <w:t xml:space="preserve"> гарантії.</w:t>
      </w:r>
    </w:p>
    <w:p w14:paraId="1745F98D" w14:textId="77777777" w:rsidR="007E0A5F" w:rsidRPr="00E52248" w:rsidRDefault="007E0A5F" w:rsidP="00E52248">
      <w:pPr>
        <w:spacing w:before="240" w:after="240"/>
        <w:ind w:firstLine="567"/>
        <w:rPr>
          <w:color w:val="000000" w:themeColor="text1"/>
        </w:rPr>
      </w:pPr>
      <w:r w:rsidRPr="00E52248">
        <w:rPr>
          <w:color w:val="000000" w:themeColor="text1"/>
        </w:rPr>
        <w:t>1</w:t>
      </w:r>
      <w:r w:rsidR="00775741" w:rsidRPr="00E52248">
        <w:rPr>
          <w:color w:val="000000" w:themeColor="text1"/>
        </w:rPr>
        <w:t>8</w:t>
      </w:r>
      <w:r w:rsidRPr="00E52248">
        <w:rPr>
          <w:color w:val="000000" w:themeColor="text1"/>
        </w:rPr>
        <w:t xml:space="preserve">. Визначити такі особливості застосування </w:t>
      </w:r>
      <w:r w:rsidR="00613091" w:rsidRPr="00E52248">
        <w:rPr>
          <w:color w:val="000000" w:themeColor="text1"/>
        </w:rPr>
        <w:t xml:space="preserve"> Положення про ліцензування та реєстрацію</w:t>
      </w:r>
      <w:r w:rsidR="002C7C34" w:rsidRPr="00E52248">
        <w:rPr>
          <w:color w:val="000000" w:themeColor="text1"/>
        </w:rPr>
        <w:t>:</w:t>
      </w:r>
    </w:p>
    <w:p w14:paraId="72836113" w14:textId="088B65E6" w:rsidR="00C5638D" w:rsidRPr="00E52248" w:rsidRDefault="00116A2D" w:rsidP="00E52248">
      <w:pPr>
        <w:spacing w:before="240" w:after="240"/>
        <w:ind w:firstLine="567"/>
        <w:rPr>
          <w:color w:val="000000" w:themeColor="text1"/>
        </w:rPr>
      </w:pPr>
      <w:r w:rsidRPr="00E52248">
        <w:rPr>
          <w:color w:val="000000" w:themeColor="text1"/>
        </w:rPr>
        <w:t>1</w:t>
      </w:r>
      <w:r w:rsidR="00207679" w:rsidRPr="00E52248">
        <w:rPr>
          <w:color w:val="000000" w:themeColor="text1"/>
        </w:rPr>
        <w:t xml:space="preserve">) </w:t>
      </w:r>
      <w:r w:rsidR="00C5638D" w:rsidRPr="00E52248">
        <w:rPr>
          <w:color w:val="000000" w:themeColor="text1"/>
        </w:rPr>
        <w:t xml:space="preserve">строк розгляду </w:t>
      </w:r>
      <w:r w:rsidR="00DB438F" w:rsidRPr="00E52248">
        <w:rPr>
          <w:color w:val="000000" w:themeColor="text1"/>
        </w:rPr>
        <w:t xml:space="preserve">інформації та </w:t>
      </w:r>
      <w:r w:rsidR="00C5638D" w:rsidRPr="00E52248">
        <w:rPr>
          <w:color w:val="000000" w:themeColor="text1"/>
        </w:rPr>
        <w:t xml:space="preserve">пакетів документів, поданих </w:t>
      </w:r>
      <w:r w:rsidR="00207679" w:rsidRPr="00E52248">
        <w:rPr>
          <w:color w:val="000000" w:themeColor="text1"/>
        </w:rPr>
        <w:t xml:space="preserve">до 24 лютого 2022 року </w:t>
      </w:r>
      <w:r w:rsidR="00C5638D" w:rsidRPr="00E52248">
        <w:rPr>
          <w:color w:val="000000" w:themeColor="text1"/>
        </w:rPr>
        <w:t xml:space="preserve">в </w:t>
      </w:r>
      <w:r w:rsidR="00BF22B4">
        <w:rPr>
          <w:color w:val="000000" w:themeColor="text1"/>
        </w:rPr>
        <w:t>межах</w:t>
      </w:r>
      <w:r w:rsidR="00BF22B4" w:rsidRPr="00E52248">
        <w:rPr>
          <w:color w:val="000000" w:themeColor="text1"/>
        </w:rPr>
        <w:t xml:space="preserve"> </w:t>
      </w:r>
      <w:r w:rsidR="00C5638D" w:rsidRPr="00E52248">
        <w:rPr>
          <w:color w:val="000000" w:themeColor="text1"/>
        </w:rPr>
        <w:t xml:space="preserve">процедур, визначених Положенням </w:t>
      </w:r>
      <w:r w:rsidR="00207679" w:rsidRPr="00E52248">
        <w:rPr>
          <w:color w:val="000000" w:themeColor="text1"/>
        </w:rPr>
        <w:t>про ліцензування та реєстрацію</w:t>
      </w:r>
      <w:r w:rsidR="00C5638D" w:rsidRPr="00E52248">
        <w:rPr>
          <w:color w:val="000000" w:themeColor="text1"/>
        </w:rPr>
        <w:t>, зупиняється</w:t>
      </w:r>
      <w:r w:rsidR="00C87544" w:rsidRPr="00E52248">
        <w:rPr>
          <w:color w:val="000000" w:themeColor="text1"/>
        </w:rPr>
        <w:t xml:space="preserve"> </w:t>
      </w:r>
      <w:r w:rsidR="004556D7" w:rsidRPr="00E52248">
        <w:rPr>
          <w:color w:val="000000" w:themeColor="text1"/>
        </w:rPr>
        <w:t xml:space="preserve">з 24 лютого 2022 року </w:t>
      </w:r>
      <w:r w:rsidR="00C87544" w:rsidRPr="00E52248">
        <w:rPr>
          <w:color w:val="000000" w:themeColor="text1"/>
        </w:rPr>
        <w:t xml:space="preserve">та </w:t>
      </w:r>
      <w:r w:rsidR="002460B8" w:rsidRPr="00E52248">
        <w:rPr>
          <w:color w:val="000000" w:themeColor="text1"/>
        </w:rPr>
        <w:t>по</w:t>
      </w:r>
      <w:r w:rsidR="00C87544" w:rsidRPr="00E52248">
        <w:rPr>
          <w:color w:val="000000" w:themeColor="text1"/>
        </w:rPr>
        <w:t xml:space="preserve">новлюється </w:t>
      </w:r>
      <w:r w:rsidR="0006107D" w:rsidRPr="00E52248">
        <w:rPr>
          <w:color w:val="000000" w:themeColor="text1"/>
        </w:rPr>
        <w:t xml:space="preserve">з наступного робочого дня після дати </w:t>
      </w:r>
      <w:r w:rsidR="00C87544" w:rsidRPr="00E52248">
        <w:rPr>
          <w:color w:val="000000" w:themeColor="text1"/>
        </w:rPr>
        <w:t xml:space="preserve">завершення дії </w:t>
      </w:r>
      <w:r w:rsidR="00A87081" w:rsidRPr="00E52248">
        <w:rPr>
          <w:color w:val="000000" w:themeColor="text1"/>
        </w:rPr>
        <w:t>Указу 64/2022</w:t>
      </w:r>
      <w:r w:rsidR="00DB438F" w:rsidRPr="00E52248">
        <w:rPr>
          <w:color w:val="000000" w:themeColor="text1"/>
        </w:rPr>
        <w:t xml:space="preserve"> без повідомлення про це заявника</w:t>
      </w:r>
      <w:r w:rsidR="00C5638D" w:rsidRPr="00E52248">
        <w:rPr>
          <w:color w:val="000000" w:themeColor="text1"/>
        </w:rPr>
        <w:t>;</w:t>
      </w:r>
    </w:p>
    <w:p w14:paraId="3530015A" w14:textId="66D0E266" w:rsidR="00612B27" w:rsidRPr="00E52248" w:rsidRDefault="00612B27" w:rsidP="00E52248">
      <w:pPr>
        <w:spacing w:before="240" w:after="240"/>
        <w:ind w:firstLine="567"/>
        <w:rPr>
          <w:color w:val="000000" w:themeColor="text1"/>
        </w:rPr>
      </w:pPr>
      <w:r w:rsidRPr="00E52248">
        <w:rPr>
          <w:color w:val="000000" w:themeColor="text1"/>
        </w:rPr>
        <w:t xml:space="preserve">2) строк розгляду </w:t>
      </w:r>
      <w:r w:rsidR="004556D7" w:rsidRPr="00E52248">
        <w:rPr>
          <w:color w:val="000000" w:themeColor="text1"/>
        </w:rPr>
        <w:t xml:space="preserve">інформації та </w:t>
      </w:r>
      <w:r w:rsidRPr="00E52248">
        <w:rPr>
          <w:color w:val="000000" w:themeColor="text1"/>
        </w:rPr>
        <w:t xml:space="preserve">пакетів документів, поданих починаючи з 24 лютого 2022 року </w:t>
      </w:r>
      <w:r w:rsidR="004556D7" w:rsidRPr="00E52248">
        <w:rPr>
          <w:color w:val="000000" w:themeColor="text1"/>
        </w:rPr>
        <w:t xml:space="preserve">до завершення дії </w:t>
      </w:r>
      <w:r w:rsidR="00A87081" w:rsidRPr="00E52248">
        <w:rPr>
          <w:color w:val="000000" w:themeColor="text1"/>
        </w:rPr>
        <w:t xml:space="preserve">Указу 64/2022 </w:t>
      </w:r>
      <w:r w:rsidRPr="00E52248">
        <w:rPr>
          <w:color w:val="000000" w:themeColor="text1"/>
        </w:rPr>
        <w:t xml:space="preserve">в </w:t>
      </w:r>
      <w:r w:rsidR="00BF22B4">
        <w:rPr>
          <w:color w:val="000000" w:themeColor="text1"/>
        </w:rPr>
        <w:t>межах</w:t>
      </w:r>
      <w:r w:rsidR="00BF22B4" w:rsidRPr="00E52248">
        <w:rPr>
          <w:color w:val="000000" w:themeColor="text1"/>
        </w:rPr>
        <w:t xml:space="preserve"> </w:t>
      </w:r>
      <w:r w:rsidRPr="00E52248">
        <w:rPr>
          <w:color w:val="000000" w:themeColor="text1"/>
        </w:rPr>
        <w:t xml:space="preserve">процедур, визначених Положенням про ліцензування та реєстрацію, розпочинає перебіг з </w:t>
      </w:r>
      <w:r w:rsidR="0006107D" w:rsidRPr="00E52248">
        <w:rPr>
          <w:color w:val="000000" w:themeColor="text1"/>
        </w:rPr>
        <w:t xml:space="preserve">першого робочого </w:t>
      </w:r>
      <w:r w:rsidRPr="00E52248">
        <w:rPr>
          <w:color w:val="000000" w:themeColor="text1"/>
        </w:rPr>
        <w:t>дня, наступного за д</w:t>
      </w:r>
      <w:r w:rsidR="0006107D" w:rsidRPr="00E52248">
        <w:rPr>
          <w:color w:val="000000" w:themeColor="text1"/>
        </w:rPr>
        <w:t>атою</w:t>
      </w:r>
      <w:r w:rsidRPr="00E52248">
        <w:rPr>
          <w:color w:val="000000" w:themeColor="text1"/>
        </w:rPr>
        <w:t xml:space="preserve"> завершення дії </w:t>
      </w:r>
      <w:r w:rsidR="00A87081" w:rsidRPr="00E52248">
        <w:rPr>
          <w:color w:val="000000" w:themeColor="text1"/>
        </w:rPr>
        <w:t>Указу 64/2022</w:t>
      </w:r>
      <w:r w:rsidR="00BF22B4">
        <w:rPr>
          <w:color w:val="000000" w:themeColor="text1"/>
        </w:rPr>
        <w:t>,</w:t>
      </w:r>
      <w:r w:rsidR="00A87081" w:rsidRPr="00E52248">
        <w:rPr>
          <w:color w:val="000000" w:themeColor="text1"/>
        </w:rPr>
        <w:t xml:space="preserve"> </w:t>
      </w:r>
      <w:r w:rsidR="00DB438F" w:rsidRPr="00E52248">
        <w:rPr>
          <w:color w:val="000000" w:themeColor="text1"/>
        </w:rPr>
        <w:t>без повідомлення про це заявника</w:t>
      </w:r>
      <w:r w:rsidRPr="00E52248">
        <w:rPr>
          <w:color w:val="000000" w:themeColor="text1"/>
        </w:rPr>
        <w:t>;</w:t>
      </w:r>
    </w:p>
    <w:p w14:paraId="0DB09F75" w14:textId="768A4595" w:rsidR="00207679" w:rsidRPr="00E52248" w:rsidRDefault="00612B27" w:rsidP="00E52248">
      <w:pPr>
        <w:spacing w:before="240" w:after="240"/>
        <w:ind w:firstLine="567"/>
        <w:rPr>
          <w:color w:val="000000" w:themeColor="text1"/>
        </w:rPr>
      </w:pPr>
      <w:r w:rsidRPr="00E52248">
        <w:rPr>
          <w:color w:val="000000" w:themeColor="text1"/>
        </w:rPr>
        <w:t>3</w:t>
      </w:r>
      <w:r w:rsidR="00207679" w:rsidRPr="00E52248">
        <w:rPr>
          <w:color w:val="000000" w:themeColor="text1"/>
        </w:rPr>
        <w:t xml:space="preserve">) </w:t>
      </w:r>
      <w:r w:rsidR="00C5638D" w:rsidRPr="00E52248">
        <w:rPr>
          <w:color w:val="000000" w:themeColor="text1"/>
        </w:rPr>
        <w:t>голова правління (одноосібний виконавчий орган), голова та члени наглядової ради, головний бухгалтер об’єднаної кредитної спілки</w:t>
      </w:r>
      <w:r w:rsidR="00E27A1A" w:rsidRPr="00E52248">
        <w:rPr>
          <w:color w:val="000000" w:themeColor="text1"/>
        </w:rPr>
        <w:t>,</w:t>
      </w:r>
      <w:r w:rsidR="00C5638D" w:rsidRPr="00E52248">
        <w:rPr>
          <w:color w:val="000000" w:themeColor="text1"/>
        </w:rPr>
        <w:t xml:space="preserve"> страховика</w:t>
      </w:r>
      <w:r w:rsidR="00E27A1A" w:rsidRPr="00E52248">
        <w:rPr>
          <w:color w:val="000000" w:themeColor="text1"/>
        </w:rPr>
        <w:t>, призначені після 01 січня 2022 року,</w:t>
      </w:r>
      <w:r w:rsidR="00C5638D" w:rsidRPr="00E52248">
        <w:rPr>
          <w:color w:val="000000" w:themeColor="text1"/>
        </w:rPr>
        <w:t xml:space="preserve"> вступають на посаду </w:t>
      </w:r>
      <w:r w:rsidR="00C87544" w:rsidRPr="00E52248">
        <w:rPr>
          <w:color w:val="000000" w:themeColor="text1"/>
        </w:rPr>
        <w:t>до</w:t>
      </w:r>
      <w:r w:rsidR="00207679" w:rsidRPr="00E52248">
        <w:rPr>
          <w:color w:val="000000" w:themeColor="text1"/>
        </w:rPr>
        <w:t xml:space="preserve"> отримання погодження</w:t>
      </w:r>
      <w:r w:rsidR="005D7760" w:rsidRPr="00E52248">
        <w:rPr>
          <w:color w:val="000000" w:themeColor="text1"/>
        </w:rPr>
        <w:t xml:space="preserve"> </w:t>
      </w:r>
      <w:r w:rsidR="00356256">
        <w:rPr>
          <w:color w:val="000000" w:themeColor="text1"/>
        </w:rPr>
        <w:t>з боку</w:t>
      </w:r>
      <w:r w:rsidR="005D7760" w:rsidRPr="00E52248">
        <w:rPr>
          <w:color w:val="000000" w:themeColor="text1"/>
        </w:rPr>
        <w:t xml:space="preserve"> Національного банку.</w:t>
      </w:r>
      <w:r w:rsidR="00E27A1A" w:rsidRPr="00E52248">
        <w:rPr>
          <w:color w:val="000000" w:themeColor="text1"/>
        </w:rPr>
        <w:t xml:space="preserve"> Документи щодо погодження таких осіб подаються до Національного банку протягом місяця з дати завершення дії </w:t>
      </w:r>
      <w:r w:rsidR="00363C67" w:rsidRPr="00E52248">
        <w:rPr>
          <w:color w:val="000000" w:themeColor="text1"/>
        </w:rPr>
        <w:t>Указу 64/2022</w:t>
      </w:r>
      <w:r w:rsidR="00EC38A1" w:rsidRPr="00E52248">
        <w:rPr>
          <w:color w:val="000000" w:themeColor="text1"/>
        </w:rPr>
        <w:t>;</w:t>
      </w:r>
    </w:p>
    <w:p w14:paraId="4BE2031A" w14:textId="57166924" w:rsidR="00EC38A1" w:rsidRPr="00E52248" w:rsidRDefault="00293CDF" w:rsidP="00E52248">
      <w:pPr>
        <w:spacing w:before="240" w:after="240"/>
        <w:ind w:firstLine="567"/>
        <w:rPr>
          <w:color w:val="000000" w:themeColor="text1"/>
        </w:rPr>
      </w:pPr>
      <w:r w:rsidRPr="00E52248">
        <w:rPr>
          <w:color w:val="000000" w:themeColor="text1"/>
        </w:rPr>
        <w:t>4</w:t>
      </w:r>
      <w:r w:rsidR="00EC38A1" w:rsidRPr="00E52248">
        <w:rPr>
          <w:color w:val="000000" w:themeColor="text1"/>
        </w:rPr>
        <w:t>) надавач фінансових послуг надає Національному банку інформацію про керівника, головного бухгалтера, ключову особу, відповідального працівника, передбачену Положенням про ліцензування та реєстрацію, у випадках</w:t>
      </w:r>
      <w:r w:rsidR="00F03F72" w:rsidRPr="00E52248">
        <w:rPr>
          <w:color w:val="000000" w:themeColor="text1"/>
        </w:rPr>
        <w:t>,</w:t>
      </w:r>
      <w:r w:rsidR="00EC38A1" w:rsidRPr="00E52248">
        <w:rPr>
          <w:color w:val="000000" w:themeColor="text1"/>
        </w:rPr>
        <w:t xml:space="preserve"> визначених </w:t>
      </w:r>
      <w:r w:rsidR="00356256">
        <w:rPr>
          <w:color w:val="000000" w:themeColor="text1"/>
        </w:rPr>
        <w:t xml:space="preserve">у </w:t>
      </w:r>
      <w:r w:rsidR="00EC38A1" w:rsidRPr="00E52248">
        <w:rPr>
          <w:color w:val="000000" w:themeColor="text1"/>
        </w:rPr>
        <w:t>пункт</w:t>
      </w:r>
      <w:r w:rsidR="00356256">
        <w:rPr>
          <w:color w:val="000000" w:themeColor="text1"/>
        </w:rPr>
        <w:t>і</w:t>
      </w:r>
      <w:r w:rsidR="00EC38A1" w:rsidRPr="00E52248">
        <w:rPr>
          <w:color w:val="000000" w:themeColor="text1"/>
        </w:rPr>
        <w:t xml:space="preserve"> 449 глави 55</w:t>
      </w:r>
      <w:r w:rsidR="00D602CA" w:rsidRPr="00E52248">
        <w:rPr>
          <w:color w:val="000000" w:themeColor="text1"/>
        </w:rPr>
        <w:t xml:space="preserve"> розділу</w:t>
      </w:r>
      <w:r w:rsidR="00A14705" w:rsidRPr="00E52248">
        <w:rPr>
          <w:color w:val="000000" w:themeColor="text1"/>
        </w:rPr>
        <w:t xml:space="preserve"> IX</w:t>
      </w:r>
      <w:r w:rsidR="00EC38A1" w:rsidRPr="00E52248">
        <w:rPr>
          <w:color w:val="000000" w:themeColor="text1"/>
        </w:rPr>
        <w:t xml:space="preserve"> Положення</w:t>
      </w:r>
      <w:r w:rsidR="00F03F72" w:rsidRPr="00E52248">
        <w:rPr>
          <w:color w:val="000000" w:themeColor="text1"/>
        </w:rPr>
        <w:t xml:space="preserve"> про ліцензування та реєстрацію</w:t>
      </w:r>
      <w:r w:rsidR="00EC38A1" w:rsidRPr="00E52248">
        <w:rPr>
          <w:color w:val="000000" w:themeColor="text1"/>
        </w:rPr>
        <w:t xml:space="preserve">, </w:t>
      </w:r>
      <w:r w:rsidR="00356256">
        <w:rPr>
          <w:color w:val="000000" w:themeColor="text1"/>
        </w:rPr>
        <w:t xml:space="preserve">що </w:t>
      </w:r>
      <w:r w:rsidR="00B725D1">
        <w:rPr>
          <w:color w:val="000000" w:themeColor="text1"/>
        </w:rPr>
        <w:t>виникли</w:t>
      </w:r>
      <w:r w:rsidR="00EC38A1" w:rsidRPr="00E52248">
        <w:rPr>
          <w:color w:val="000000" w:themeColor="text1"/>
        </w:rPr>
        <w:t xml:space="preserve"> до 24 лютого 2022 року та протягом дії </w:t>
      </w:r>
      <w:r w:rsidR="00363C67" w:rsidRPr="00E52248">
        <w:rPr>
          <w:color w:val="000000" w:themeColor="text1"/>
        </w:rPr>
        <w:t>Указу 64/2022</w:t>
      </w:r>
      <w:r w:rsidR="00EC38A1" w:rsidRPr="00E52248">
        <w:rPr>
          <w:color w:val="000000" w:themeColor="text1"/>
        </w:rPr>
        <w:t xml:space="preserve">, протягом 10 робочих днів </w:t>
      </w:r>
      <w:r w:rsidR="00AB7B0A">
        <w:rPr>
          <w:color w:val="000000" w:themeColor="text1"/>
        </w:rPr>
        <w:t>і</w:t>
      </w:r>
      <w:r w:rsidR="00EC38A1" w:rsidRPr="00E52248">
        <w:rPr>
          <w:color w:val="000000" w:themeColor="text1"/>
        </w:rPr>
        <w:t xml:space="preserve">з дати завершення дії </w:t>
      </w:r>
      <w:r w:rsidR="00363C67" w:rsidRPr="00E52248">
        <w:rPr>
          <w:color w:val="000000" w:themeColor="text1"/>
        </w:rPr>
        <w:t>Указу 64/2022</w:t>
      </w:r>
      <w:r w:rsidR="00EC38A1" w:rsidRPr="00E52248">
        <w:rPr>
          <w:color w:val="000000" w:themeColor="text1"/>
        </w:rPr>
        <w:t>;</w:t>
      </w:r>
    </w:p>
    <w:p w14:paraId="389DCDBE" w14:textId="7DA3728F" w:rsidR="00EC38A1" w:rsidRPr="00E52248" w:rsidRDefault="00293CDF" w:rsidP="00E52248">
      <w:pPr>
        <w:spacing w:before="240" w:after="240"/>
        <w:ind w:firstLine="567"/>
        <w:rPr>
          <w:color w:val="000000" w:themeColor="text1"/>
        </w:rPr>
      </w:pPr>
      <w:r w:rsidRPr="00E52248">
        <w:rPr>
          <w:color w:val="000000" w:themeColor="text1"/>
        </w:rPr>
        <w:t>5</w:t>
      </w:r>
      <w:r w:rsidR="00EC38A1" w:rsidRPr="00E52248">
        <w:rPr>
          <w:color w:val="000000" w:themeColor="text1"/>
        </w:rPr>
        <w:t xml:space="preserve">) особа, яка після 01 січня 2022 року та протягом дії </w:t>
      </w:r>
      <w:r w:rsidR="00363C67" w:rsidRPr="00E52248">
        <w:rPr>
          <w:color w:val="000000" w:themeColor="text1"/>
        </w:rPr>
        <w:t xml:space="preserve">Указу 64/2022 </w:t>
      </w:r>
      <w:r w:rsidR="00EC38A1" w:rsidRPr="00E52248">
        <w:rPr>
          <w:color w:val="000000" w:themeColor="text1"/>
        </w:rPr>
        <w:t xml:space="preserve">набула істотної участі в страховику або збільшила свою істотну участь до рівня, визначеного в пункті 205 глави 22 розділу ІІІ Положення про ліцензування та реєстрацію, має право </w:t>
      </w:r>
      <w:r w:rsidR="00A67915">
        <w:rPr>
          <w:color w:val="000000" w:themeColor="text1"/>
        </w:rPr>
        <w:t>в зазначений</w:t>
      </w:r>
      <w:r w:rsidR="00EC38A1" w:rsidRPr="00E52248">
        <w:rPr>
          <w:color w:val="000000" w:themeColor="text1"/>
        </w:rPr>
        <w:t xml:space="preserve"> період, а також протягом місяця з дати завершення дії </w:t>
      </w:r>
      <w:r w:rsidR="00A14705" w:rsidRPr="00E52248">
        <w:rPr>
          <w:color w:val="000000" w:themeColor="text1"/>
        </w:rPr>
        <w:t xml:space="preserve">Указу 64/2022 </w:t>
      </w:r>
      <w:r w:rsidR="00EC38A1" w:rsidRPr="00E52248">
        <w:rPr>
          <w:color w:val="000000" w:themeColor="text1"/>
        </w:rPr>
        <w:t>та під час розгляду Національним банком відповідного пакет</w:t>
      </w:r>
      <w:r w:rsidR="00A67915">
        <w:rPr>
          <w:color w:val="000000" w:themeColor="text1"/>
        </w:rPr>
        <w:t>а</w:t>
      </w:r>
      <w:r w:rsidR="00EC38A1" w:rsidRPr="00E52248">
        <w:rPr>
          <w:color w:val="000000" w:themeColor="text1"/>
        </w:rPr>
        <w:t xml:space="preserve"> документів користуватися правом голосу придбаних акцій (часток) та брати участь в управлінні страховиком до отримання письмового погодження Національного банку. Документи щодо погодження таких осіб </w:t>
      </w:r>
      <w:r w:rsidR="00EC38A1" w:rsidRPr="00E52248">
        <w:rPr>
          <w:color w:val="000000" w:themeColor="text1"/>
        </w:rPr>
        <w:lastRenderedPageBreak/>
        <w:t xml:space="preserve">подаються до Національного банку протягом місяця з дати завершення дії </w:t>
      </w:r>
      <w:r w:rsidR="00363C67" w:rsidRPr="00E52248">
        <w:rPr>
          <w:color w:val="000000" w:themeColor="text1"/>
        </w:rPr>
        <w:t>Указу 64/2022</w:t>
      </w:r>
      <w:r w:rsidR="00EC38A1" w:rsidRPr="00E52248">
        <w:rPr>
          <w:color w:val="000000" w:themeColor="text1"/>
        </w:rPr>
        <w:t>;</w:t>
      </w:r>
    </w:p>
    <w:p w14:paraId="18EACEF0" w14:textId="026ECB45" w:rsidR="00293CDF" w:rsidRPr="00E52248" w:rsidRDefault="00293CDF" w:rsidP="00E52248">
      <w:pPr>
        <w:spacing w:before="240" w:after="240"/>
        <w:ind w:firstLine="567"/>
        <w:rPr>
          <w:color w:val="000000" w:themeColor="text1"/>
        </w:rPr>
      </w:pPr>
      <w:r w:rsidRPr="00E52248">
        <w:rPr>
          <w:color w:val="000000" w:themeColor="text1"/>
        </w:rPr>
        <w:t xml:space="preserve">6) надавачі фінансових послуг у разі виникнення до 24 лютого 2022 року та протягом дії </w:t>
      </w:r>
      <w:r w:rsidR="00363C67" w:rsidRPr="00E52248">
        <w:rPr>
          <w:color w:val="000000" w:themeColor="text1"/>
        </w:rPr>
        <w:t>Указу 64/2022</w:t>
      </w:r>
      <w:r w:rsidRPr="00E52248">
        <w:rPr>
          <w:color w:val="000000" w:themeColor="text1"/>
        </w:rPr>
        <w:t xml:space="preserve"> змін та/або доповнень до інформації, передбаченої </w:t>
      </w:r>
      <w:r w:rsidR="00B725D1">
        <w:rPr>
          <w:color w:val="000000" w:themeColor="text1"/>
        </w:rPr>
        <w:t xml:space="preserve">в </w:t>
      </w:r>
      <w:r w:rsidRPr="00E52248">
        <w:rPr>
          <w:color w:val="000000" w:themeColor="text1"/>
        </w:rPr>
        <w:t>пункт</w:t>
      </w:r>
      <w:r w:rsidR="00B725D1">
        <w:rPr>
          <w:color w:val="000000" w:themeColor="text1"/>
        </w:rPr>
        <w:t>і</w:t>
      </w:r>
      <w:r w:rsidRPr="00E52248">
        <w:rPr>
          <w:color w:val="000000" w:themeColor="text1"/>
        </w:rPr>
        <w:t xml:space="preserve"> 488 </w:t>
      </w:r>
      <w:r w:rsidR="00D602CA" w:rsidRPr="00E52248">
        <w:rPr>
          <w:color w:val="000000" w:themeColor="text1"/>
        </w:rPr>
        <w:t>глави</w:t>
      </w:r>
      <w:r w:rsidR="00A14705" w:rsidRPr="00E52248">
        <w:rPr>
          <w:color w:val="000000" w:themeColor="text1"/>
        </w:rPr>
        <w:t xml:space="preserve"> 59</w:t>
      </w:r>
      <w:r w:rsidR="00D602CA" w:rsidRPr="00E52248">
        <w:rPr>
          <w:color w:val="000000" w:themeColor="text1"/>
        </w:rPr>
        <w:t xml:space="preserve"> </w:t>
      </w:r>
      <w:r w:rsidRPr="00E52248">
        <w:rPr>
          <w:color w:val="000000" w:themeColor="text1"/>
        </w:rPr>
        <w:t xml:space="preserve">розділу X Положення про ліцензування та реєстрацію, подають відповідну інформацію та документи протягом 15 робочих днів </w:t>
      </w:r>
      <w:r w:rsidR="00AB7B0A">
        <w:rPr>
          <w:color w:val="000000" w:themeColor="text1"/>
        </w:rPr>
        <w:t>і</w:t>
      </w:r>
      <w:r w:rsidRPr="00E52248">
        <w:rPr>
          <w:color w:val="000000" w:themeColor="text1"/>
        </w:rPr>
        <w:t xml:space="preserve">з дати завершення дії </w:t>
      </w:r>
      <w:r w:rsidR="00363C67" w:rsidRPr="00E52248">
        <w:rPr>
          <w:color w:val="000000" w:themeColor="text1"/>
        </w:rPr>
        <w:t>Указу 64/2022</w:t>
      </w:r>
      <w:r w:rsidRPr="00E52248">
        <w:rPr>
          <w:color w:val="000000" w:themeColor="text1"/>
        </w:rPr>
        <w:t>;</w:t>
      </w:r>
    </w:p>
    <w:p w14:paraId="031189A9" w14:textId="22B8C3C3" w:rsidR="00293CDF" w:rsidRPr="00E52248" w:rsidRDefault="00293CDF" w:rsidP="00E52248">
      <w:pPr>
        <w:spacing w:before="240" w:after="240"/>
        <w:ind w:firstLine="567"/>
        <w:rPr>
          <w:color w:val="000000" w:themeColor="text1"/>
        </w:rPr>
      </w:pPr>
      <w:r w:rsidRPr="00E52248">
        <w:rPr>
          <w:color w:val="000000" w:themeColor="text1"/>
        </w:rPr>
        <w:t xml:space="preserve">7) </w:t>
      </w:r>
      <w:r w:rsidR="00FF570E" w:rsidRPr="00E52248">
        <w:rPr>
          <w:color w:val="000000" w:themeColor="text1"/>
        </w:rPr>
        <w:t xml:space="preserve">власник істотної участі в небанківській фінансовій установі в разі зміни відомостей, що подавалися до Національного банку в анкеті фізичної особи або анкеті юридичної особи після 01 січня 2022 року та протягом дії </w:t>
      </w:r>
      <w:r w:rsidR="00363C67" w:rsidRPr="00E52248">
        <w:rPr>
          <w:color w:val="000000" w:themeColor="text1"/>
        </w:rPr>
        <w:t>Указу 64/2022</w:t>
      </w:r>
      <w:r w:rsidR="00FF570E" w:rsidRPr="00E52248">
        <w:rPr>
          <w:color w:val="000000" w:themeColor="text1"/>
        </w:rPr>
        <w:t xml:space="preserve">, повідомляє про це Національний банк протягом 20 робочих днів </w:t>
      </w:r>
      <w:r w:rsidR="00AB7B0A">
        <w:rPr>
          <w:color w:val="000000" w:themeColor="text1"/>
        </w:rPr>
        <w:t>і</w:t>
      </w:r>
      <w:r w:rsidR="00FF570E" w:rsidRPr="00E52248">
        <w:rPr>
          <w:color w:val="000000" w:themeColor="text1"/>
        </w:rPr>
        <w:t xml:space="preserve">з дати завершення дії </w:t>
      </w:r>
      <w:r w:rsidR="00363C67" w:rsidRPr="00E52248">
        <w:rPr>
          <w:color w:val="000000" w:themeColor="text1"/>
        </w:rPr>
        <w:t>Указу 64/2022</w:t>
      </w:r>
      <w:r w:rsidR="00FF570E" w:rsidRPr="00E52248">
        <w:rPr>
          <w:color w:val="000000" w:themeColor="text1"/>
        </w:rPr>
        <w:t>;</w:t>
      </w:r>
    </w:p>
    <w:p w14:paraId="52DABBE9" w14:textId="6F78B828" w:rsidR="0057063F" w:rsidRPr="00E52248" w:rsidRDefault="0057063F" w:rsidP="00E52248">
      <w:pPr>
        <w:spacing w:before="240" w:after="240"/>
        <w:ind w:firstLine="567"/>
        <w:rPr>
          <w:color w:val="000000" w:themeColor="text1"/>
        </w:rPr>
      </w:pPr>
      <w:r w:rsidRPr="00E52248">
        <w:rPr>
          <w:color w:val="000000" w:themeColor="text1"/>
        </w:rPr>
        <w:t xml:space="preserve">8) надавачі фінансових послуг до завершення дії </w:t>
      </w:r>
      <w:r w:rsidR="00363C67" w:rsidRPr="00E52248">
        <w:rPr>
          <w:color w:val="000000" w:themeColor="text1"/>
        </w:rPr>
        <w:t xml:space="preserve">Указу 64/2022 </w:t>
      </w:r>
      <w:r w:rsidRPr="00E52248">
        <w:rPr>
          <w:color w:val="000000" w:themeColor="text1"/>
        </w:rPr>
        <w:t xml:space="preserve">мають право відкривати та здійснювати діяльність через відокремлені підрозділи до подання до Національного банку заяви про включення до </w:t>
      </w:r>
      <w:r w:rsidR="00E40818" w:rsidRPr="00E52248">
        <w:rPr>
          <w:color w:val="000000" w:themeColor="text1"/>
        </w:rPr>
        <w:t>Державного реєстру фінансових установ/Реєстру осіб, які не є фінансовими установами, але мають право надавати окремі фінансові послуги (далі – Реєстр)</w:t>
      </w:r>
      <w:r w:rsidRPr="00E52248">
        <w:rPr>
          <w:color w:val="000000" w:themeColor="text1"/>
        </w:rPr>
        <w:t xml:space="preserve"> відповідно до пункту 502 </w:t>
      </w:r>
      <w:r w:rsidR="00D602CA" w:rsidRPr="00E52248">
        <w:rPr>
          <w:color w:val="000000" w:themeColor="text1"/>
        </w:rPr>
        <w:t xml:space="preserve">глави 63 </w:t>
      </w:r>
      <w:r w:rsidRPr="00E52248">
        <w:rPr>
          <w:color w:val="000000" w:themeColor="text1"/>
        </w:rPr>
        <w:t xml:space="preserve">розділу X Положення про ліцензування та реєстрацію. Документи, передбачені </w:t>
      </w:r>
      <w:r w:rsidR="00AB7B0A">
        <w:rPr>
          <w:color w:val="000000" w:themeColor="text1"/>
        </w:rPr>
        <w:t xml:space="preserve">в </w:t>
      </w:r>
      <w:r w:rsidRPr="00E52248">
        <w:rPr>
          <w:color w:val="000000" w:themeColor="text1"/>
        </w:rPr>
        <w:t>пункт</w:t>
      </w:r>
      <w:r w:rsidR="00AB7B0A">
        <w:rPr>
          <w:color w:val="000000" w:themeColor="text1"/>
        </w:rPr>
        <w:t>і</w:t>
      </w:r>
      <w:r w:rsidRPr="00E52248">
        <w:rPr>
          <w:color w:val="000000" w:themeColor="text1"/>
        </w:rPr>
        <w:t xml:space="preserve"> 502 </w:t>
      </w:r>
      <w:r w:rsidR="00D602CA" w:rsidRPr="00E52248">
        <w:rPr>
          <w:color w:val="000000" w:themeColor="text1"/>
        </w:rPr>
        <w:t xml:space="preserve">глави 63 </w:t>
      </w:r>
      <w:r w:rsidRPr="00E52248">
        <w:rPr>
          <w:color w:val="000000" w:themeColor="text1"/>
        </w:rPr>
        <w:t xml:space="preserve">розділу X Положення про ліцензування та реєстрацію, подаються до Національного банку протягом 10 робочих днів </w:t>
      </w:r>
      <w:r w:rsidR="00AB7B0A">
        <w:rPr>
          <w:color w:val="000000" w:themeColor="text1"/>
        </w:rPr>
        <w:t>і</w:t>
      </w:r>
      <w:r w:rsidRPr="00E52248">
        <w:rPr>
          <w:color w:val="000000" w:themeColor="text1"/>
        </w:rPr>
        <w:t xml:space="preserve">з дати завершення дії </w:t>
      </w:r>
      <w:r w:rsidR="00363C67" w:rsidRPr="00E52248">
        <w:rPr>
          <w:color w:val="000000" w:themeColor="text1"/>
        </w:rPr>
        <w:t>Указу 64/2022</w:t>
      </w:r>
      <w:r w:rsidRPr="00E52248">
        <w:rPr>
          <w:color w:val="000000" w:themeColor="text1"/>
        </w:rPr>
        <w:t>;</w:t>
      </w:r>
    </w:p>
    <w:p w14:paraId="2C67B73C" w14:textId="1B228EEB" w:rsidR="00EC38A1" w:rsidRPr="00E52248" w:rsidRDefault="001C3207" w:rsidP="00E52248">
      <w:pPr>
        <w:spacing w:before="240" w:after="240"/>
        <w:ind w:firstLine="567"/>
        <w:rPr>
          <w:color w:val="000000" w:themeColor="text1"/>
        </w:rPr>
      </w:pPr>
      <w:r w:rsidRPr="00E52248">
        <w:rPr>
          <w:color w:val="000000" w:themeColor="text1"/>
        </w:rPr>
        <w:t xml:space="preserve">9) надавач фінансових послуг у разі зміни інформації про свій відокремлений підрозділ, яка міститься у відповідному Реєстрі, подає до Національного банку заяву, передбачену </w:t>
      </w:r>
      <w:r w:rsidR="00310709" w:rsidRPr="00E52248">
        <w:rPr>
          <w:color w:val="000000" w:themeColor="text1"/>
        </w:rPr>
        <w:t>в пункті 502 глави 63 розділу X</w:t>
      </w:r>
      <w:r w:rsidRPr="00E52248">
        <w:rPr>
          <w:color w:val="000000" w:themeColor="text1"/>
        </w:rPr>
        <w:t xml:space="preserve"> Положення</w:t>
      </w:r>
      <w:r w:rsidR="004C2237" w:rsidRPr="00E52248">
        <w:rPr>
          <w:color w:val="000000" w:themeColor="text1"/>
        </w:rPr>
        <w:t xml:space="preserve"> про ліцензування та реєстрацію</w:t>
      </w:r>
      <w:r w:rsidRPr="00E52248">
        <w:rPr>
          <w:color w:val="000000" w:themeColor="text1"/>
        </w:rPr>
        <w:t xml:space="preserve">, протягом 15 робочих днів </w:t>
      </w:r>
      <w:r w:rsidR="00AB7B0A">
        <w:rPr>
          <w:color w:val="000000" w:themeColor="text1"/>
        </w:rPr>
        <w:t>і</w:t>
      </w:r>
      <w:r w:rsidRPr="00E52248">
        <w:rPr>
          <w:color w:val="000000" w:themeColor="text1"/>
        </w:rPr>
        <w:t xml:space="preserve">з дати завершення дії </w:t>
      </w:r>
      <w:r w:rsidR="00363C67" w:rsidRPr="00E52248">
        <w:rPr>
          <w:color w:val="000000" w:themeColor="text1"/>
        </w:rPr>
        <w:t>Указу 64/2022</w:t>
      </w:r>
      <w:r w:rsidRPr="00E52248">
        <w:rPr>
          <w:color w:val="000000" w:themeColor="text1"/>
        </w:rPr>
        <w:t>;</w:t>
      </w:r>
    </w:p>
    <w:p w14:paraId="21ED3E42" w14:textId="2E5B8A75" w:rsidR="001C3207" w:rsidRPr="00E52248" w:rsidRDefault="001C3207" w:rsidP="00E52248">
      <w:pPr>
        <w:spacing w:before="240" w:after="240"/>
        <w:ind w:firstLine="567"/>
        <w:rPr>
          <w:color w:val="000000" w:themeColor="text1"/>
        </w:rPr>
      </w:pPr>
      <w:r w:rsidRPr="00E52248">
        <w:rPr>
          <w:color w:val="000000" w:themeColor="text1"/>
        </w:rPr>
        <w:t xml:space="preserve">10) надавач фінансових послуг у разі припинення діяльності свого відокремленого підрозділу до 24 лютого 2022 року та протягом дії </w:t>
      </w:r>
      <w:r w:rsidR="00363C67" w:rsidRPr="00E52248">
        <w:rPr>
          <w:color w:val="000000" w:themeColor="text1"/>
        </w:rPr>
        <w:t>Указу 64/2022</w:t>
      </w:r>
      <w:r w:rsidRPr="00E52248">
        <w:rPr>
          <w:color w:val="000000" w:themeColor="text1"/>
        </w:rPr>
        <w:t xml:space="preserve">, подає до Національного банку документи, передбачені </w:t>
      </w:r>
      <w:r w:rsidR="00AB7B0A">
        <w:rPr>
          <w:color w:val="000000" w:themeColor="text1"/>
        </w:rPr>
        <w:t xml:space="preserve">в </w:t>
      </w:r>
      <w:r w:rsidRPr="00E52248">
        <w:rPr>
          <w:color w:val="000000" w:themeColor="text1"/>
        </w:rPr>
        <w:t>пункт</w:t>
      </w:r>
      <w:r w:rsidR="00AB7B0A">
        <w:rPr>
          <w:color w:val="000000" w:themeColor="text1"/>
        </w:rPr>
        <w:t>і</w:t>
      </w:r>
      <w:r w:rsidRPr="00E52248">
        <w:rPr>
          <w:color w:val="000000" w:themeColor="text1"/>
        </w:rPr>
        <w:t xml:space="preserve"> 506 </w:t>
      </w:r>
      <w:r w:rsidR="00BC6971" w:rsidRPr="00E52248">
        <w:rPr>
          <w:color w:val="000000" w:themeColor="text1"/>
        </w:rPr>
        <w:t xml:space="preserve">глави 63 розділу X </w:t>
      </w:r>
      <w:r w:rsidRPr="00E52248">
        <w:rPr>
          <w:color w:val="000000" w:themeColor="text1"/>
        </w:rPr>
        <w:t xml:space="preserve">Положення про ліцензування та реєстрацію, протягом </w:t>
      </w:r>
      <w:r w:rsidR="00AB7B0A">
        <w:rPr>
          <w:color w:val="000000" w:themeColor="text1"/>
        </w:rPr>
        <w:t>трьох</w:t>
      </w:r>
      <w:r w:rsidRPr="00E52248">
        <w:rPr>
          <w:color w:val="000000" w:themeColor="text1"/>
        </w:rPr>
        <w:t xml:space="preserve"> робочих днів </w:t>
      </w:r>
      <w:r w:rsidR="00AB7B0A">
        <w:rPr>
          <w:color w:val="000000" w:themeColor="text1"/>
        </w:rPr>
        <w:t>і</w:t>
      </w:r>
      <w:r w:rsidRPr="00E52248">
        <w:rPr>
          <w:color w:val="000000" w:themeColor="text1"/>
        </w:rPr>
        <w:t xml:space="preserve">з дати завершення дії </w:t>
      </w:r>
      <w:r w:rsidR="00363C67" w:rsidRPr="00E52248">
        <w:rPr>
          <w:color w:val="000000" w:themeColor="text1"/>
        </w:rPr>
        <w:t>Указу 64/2022</w:t>
      </w:r>
      <w:r w:rsidRPr="00E52248">
        <w:rPr>
          <w:color w:val="000000" w:themeColor="text1"/>
        </w:rPr>
        <w:t>.</w:t>
      </w:r>
    </w:p>
    <w:p w14:paraId="257A2C11" w14:textId="64DBFEE5" w:rsidR="008E5F6D" w:rsidRPr="00E52248" w:rsidRDefault="00775741" w:rsidP="00E52248">
      <w:pPr>
        <w:spacing w:before="240" w:after="240"/>
        <w:ind w:firstLine="567"/>
        <w:rPr>
          <w:color w:val="000000" w:themeColor="text1"/>
        </w:rPr>
      </w:pPr>
      <w:r w:rsidRPr="00E52248">
        <w:rPr>
          <w:color w:val="000000" w:themeColor="text1"/>
        </w:rPr>
        <w:t>19</w:t>
      </w:r>
      <w:r w:rsidR="008E5F6D" w:rsidRPr="00E52248">
        <w:rPr>
          <w:color w:val="000000" w:themeColor="text1"/>
        </w:rPr>
        <w:t xml:space="preserve">. Визначити </w:t>
      </w:r>
      <w:r w:rsidR="004D4863" w:rsidRPr="00E52248">
        <w:rPr>
          <w:color w:val="000000" w:themeColor="text1"/>
        </w:rPr>
        <w:t xml:space="preserve">такі особливості застосування </w:t>
      </w:r>
      <w:r w:rsidR="00224140" w:rsidRPr="00E52248">
        <w:rPr>
          <w:color w:val="000000" w:themeColor="text1"/>
        </w:rPr>
        <w:t xml:space="preserve">нормативно-правових актів Національного банку, зазначених </w:t>
      </w:r>
      <w:r w:rsidR="0062402D">
        <w:rPr>
          <w:color w:val="000000" w:themeColor="text1"/>
        </w:rPr>
        <w:t>у</w:t>
      </w:r>
      <w:r w:rsidR="0062402D" w:rsidRPr="00E52248">
        <w:rPr>
          <w:color w:val="000000" w:themeColor="text1"/>
        </w:rPr>
        <w:t xml:space="preserve"> </w:t>
      </w:r>
      <w:r w:rsidR="00224140" w:rsidRPr="00E52248">
        <w:rPr>
          <w:color w:val="000000" w:themeColor="text1"/>
        </w:rPr>
        <w:t xml:space="preserve">додатку до цієї постанови: </w:t>
      </w:r>
    </w:p>
    <w:p w14:paraId="5AF94398" w14:textId="1A4BA0A4" w:rsidR="00224140" w:rsidRPr="00E52248" w:rsidRDefault="00A23420" w:rsidP="00E52248">
      <w:pPr>
        <w:spacing w:before="240" w:after="240"/>
        <w:ind w:firstLine="567"/>
        <w:rPr>
          <w:color w:val="000000" w:themeColor="text1"/>
        </w:rPr>
      </w:pPr>
      <w:r w:rsidRPr="00E52248">
        <w:rPr>
          <w:color w:val="000000" w:themeColor="text1"/>
        </w:rPr>
        <w:t xml:space="preserve">1) </w:t>
      </w:r>
      <w:r w:rsidR="002334F7" w:rsidRPr="00E52248">
        <w:rPr>
          <w:color w:val="000000" w:themeColor="text1"/>
        </w:rPr>
        <w:t xml:space="preserve">строк розгляду </w:t>
      </w:r>
      <w:r w:rsidR="004556D7" w:rsidRPr="00E52248">
        <w:rPr>
          <w:color w:val="000000" w:themeColor="text1"/>
        </w:rPr>
        <w:t xml:space="preserve">інформації та </w:t>
      </w:r>
      <w:r w:rsidR="002334F7" w:rsidRPr="00E52248">
        <w:rPr>
          <w:color w:val="000000" w:themeColor="text1"/>
        </w:rPr>
        <w:t xml:space="preserve">пакетів документів, поданих до 24 лютого 2022 року в </w:t>
      </w:r>
      <w:r w:rsidR="0076206A">
        <w:rPr>
          <w:color w:val="000000" w:themeColor="text1"/>
        </w:rPr>
        <w:t>межах</w:t>
      </w:r>
      <w:r w:rsidR="0076206A" w:rsidRPr="00E52248">
        <w:rPr>
          <w:color w:val="000000" w:themeColor="text1"/>
        </w:rPr>
        <w:t xml:space="preserve"> </w:t>
      </w:r>
      <w:r w:rsidR="002334F7" w:rsidRPr="00E52248">
        <w:rPr>
          <w:color w:val="000000" w:themeColor="text1"/>
        </w:rPr>
        <w:t xml:space="preserve">процедур, визначених </w:t>
      </w:r>
      <w:r w:rsidR="00224140" w:rsidRPr="00E52248">
        <w:rPr>
          <w:color w:val="000000" w:themeColor="text1"/>
        </w:rPr>
        <w:t xml:space="preserve">нормативно-правовими актами Національного банку, зазначеними в додатку до цієї постанови, зупиняється </w:t>
      </w:r>
      <w:r w:rsidR="004556D7" w:rsidRPr="00E52248">
        <w:rPr>
          <w:color w:val="000000" w:themeColor="text1"/>
        </w:rPr>
        <w:t xml:space="preserve">з 24 лютого 2022 року </w:t>
      </w:r>
      <w:r w:rsidR="00224140" w:rsidRPr="00E52248">
        <w:rPr>
          <w:color w:val="000000" w:themeColor="text1"/>
        </w:rPr>
        <w:t xml:space="preserve">та поновлюється </w:t>
      </w:r>
      <w:r w:rsidR="0075096C" w:rsidRPr="00E52248">
        <w:rPr>
          <w:color w:val="000000" w:themeColor="text1"/>
        </w:rPr>
        <w:t xml:space="preserve">з наступного робочого дня після дати завершення </w:t>
      </w:r>
      <w:r w:rsidR="00224140" w:rsidRPr="00E52248">
        <w:rPr>
          <w:color w:val="000000" w:themeColor="text1"/>
        </w:rPr>
        <w:t xml:space="preserve">дії </w:t>
      </w:r>
      <w:r w:rsidR="00E04037" w:rsidRPr="00E52248">
        <w:rPr>
          <w:color w:val="000000" w:themeColor="text1"/>
        </w:rPr>
        <w:t>Указу 64/2022</w:t>
      </w:r>
      <w:r w:rsidR="001462DE" w:rsidRPr="00E52248">
        <w:rPr>
          <w:color w:val="000000" w:themeColor="text1"/>
        </w:rPr>
        <w:t xml:space="preserve"> без повідомлення про це заявника</w:t>
      </w:r>
      <w:r w:rsidR="00224140" w:rsidRPr="00E52248">
        <w:rPr>
          <w:color w:val="000000" w:themeColor="text1"/>
        </w:rPr>
        <w:t>;</w:t>
      </w:r>
    </w:p>
    <w:p w14:paraId="27A2F9A2" w14:textId="5A28BB51" w:rsidR="00224140" w:rsidRPr="00E52248" w:rsidRDefault="00687175" w:rsidP="00E52248">
      <w:pPr>
        <w:spacing w:before="240" w:after="240"/>
        <w:ind w:firstLine="567"/>
        <w:rPr>
          <w:color w:val="000000" w:themeColor="text1"/>
        </w:rPr>
      </w:pPr>
      <w:r w:rsidRPr="00E52248">
        <w:rPr>
          <w:color w:val="000000" w:themeColor="text1"/>
        </w:rPr>
        <w:lastRenderedPageBreak/>
        <w:t xml:space="preserve">2) </w:t>
      </w:r>
      <w:r w:rsidR="00224140" w:rsidRPr="00E52248">
        <w:rPr>
          <w:color w:val="000000" w:themeColor="text1"/>
        </w:rPr>
        <w:t xml:space="preserve">строк розгляду </w:t>
      </w:r>
      <w:r w:rsidR="004556D7" w:rsidRPr="00E52248">
        <w:rPr>
          <w:color w:val="000000" w:themeColor="text1"/>
        </w:rPr>
        <w:t xml:space="preserve">інформації та </w:t>
      </w:r>
      <w:r w:rsidR="00224140" w:rsidRPr="00E52248">
        <w:rPr>
          <w:color w:val="000000" w:themeColor="text1"/>
        </w:rPr>
        <w:t xml:space="preserve">пакетів документів, поданих починаючи з 24 лютого 2022 року </w:t>
      </w:r>
      <w:r w:rsidR="004556D7" w:rsidRPr="00E52248">
        <w:rPr>
          <w:color w:val="000000" w:themeColor="text1"/>
        </w:rPr>
        <w:t xml:space="preserve">до завершення дії </w:t>
      </w:r>
      <w:r w:rsidR="00853608" w:rsidRPr="00E52248">
        <w:rPr>
          <w:color w:val="000000" w:themeColor="text1"/>
        </w:rPr>
        <w:t>Указу 64/2022</w:t>
      </w:r>
      <w:r w:rsidR="004556D7" w:rsidRPr="00E52248">
        <w:rPr>
          <w:color w:val="000000" w:themeColor="text1"/>
        </w:rPr>
        <w:t xml:space="preserve"> </w:t>
      </w:r>
      <w:r w:rsidR="00224140" w:rsidRPr="00E52248">
        <w:rPr>
          <w:color w:val="000000" w:themeColor="text1"/>
        </w:rPr>
        <w:t xml:space="preserve">в </w:t>
      </w:r>
      <w:r w:rsidR="0076206A">
        <w:rPr>
          <w:color w:val="000000" w:themeColor="text1"/>
        </w:rPr>
        <w:t>межах</w:t>
      </w:r>
      <w:r w:rsidR="0076206A" w:rsidRPr="00E52248">
        <w:rPr>
          <w:color w:val="000000" w:themeColor="text1"/>
        </w:rPr>
        <w:t xml:space="preserve"> </w:t>
      </w:r>
      <w:r w:rsidR="00224140" w:rsidRPr="00E52248">
        <w:rPr>
          <w:color w:val="000000" w:themeColor="text1"/>
        </w:rPr>
        <w:t>процедур, визначених нормативно-правовими актами Національного банку, зазначеними в додатку до цієї постанови, розпочинає перебіг з</w:t>
      </w:r>
      <w:r w:rsidR="0075096C" w:rsidRPr="00E52248">
        <w:rPr>
          <w:color w:val="000000" w:themeColor="text1"/>
        </w:rPr>
        <w:t xml:space="preserve"> першого робочого дня, наступного за датою завершення дії</w:t>
      </w:r>
      <w:r w:rsidR="00224140" w:rsidRPr="00E52248">
        <w:rPr>
          <w:color w:val="000000" w:themeColor="text1"/>
        </w:rPr>
        <w:t xml:space="preserve"> </w:t>
      </w:r>
      <w:r w:rsidR="00853608" w:rsidRPr="00E52248">
        <w:rPr>
          <w:color w:val="000000" w:themeColor="text1"/>
        </w:rPr>
        <w:t xml:space="preserve">Указу 64/2022 </w:t>
      </w:r>
      <w:r w:rsidR="001462DE" w:rsidRPr="00E52248">
        <w:rPr>
          <w:color w:val="000000" w:themeColor="text1"/>
        </w:rPr>
        <w:t>без повідомлення про це заявника</w:t>
      </w:r>
      <w:r w:rsidR="00224140" w:rsidRPr="00E52248">
        <w:rPr>
          <w:color w:val="000000" w:themeColor="text1"/>
        </w:rPr>
        <w:t>.</w:t>
      </w:r>
    </w:p>
    <w:p w14:paraId="324F8668" w14:textId="0698E644" w:rsidR="001462DE" w:rsidRPr="00E52248" w:rsidRDefault="001462DE" w:rsidP="00E52248">
      <w:pPr>
        <w:spacing w:before="240" w:after="240"/>
        <w:ind w:firstLine="567"/>
        <w:rPr>
          <w:color w:val="000000" w:themeColor="text1"/>
        </w:rPr>
      </w:pPr>
      <w:r w:rsidRPr="00E52248">
        <w:rPr>
          <w:color w:val="000000" w:themeColor="text1"/>
        </w:rPr>
        <w:t xml:space="preserve">20. Особи, зазначені </w:t>
      </w:r>
      <w:r w:rsidR="00AB7B0A">
        <w:rPr>
          <w:color w:val="000000" w:themeColor="text1"/>
        </w:rPr>
        <w:t>в</w:t>
      </w:r>
      <w:r w:rsidRPr="00E52248">
        <w:rPr>
          <w:color w:val="000000" w:themeColor="text1"/>
        </w:rPr>
        <w:t xml:space="preserve"> пункті 1 цієї постанови, у разі виникнення до 24</w:t>
      </w:r>
      <w:r w:rsidR="00AB7B0A">
        <w:rPr>
          <w:color w:val="000000" w:themeColor="text1"/>
        </w:rPr>
        <w:t> </w:t>
      </w:r>
      <w:r w:rsidRPr="00E52248">
        <w:rPr>
          <w:color w:val="000000" w:themeColor="text1"/>
        </w:rPr>
        <w:t xml:space="preserve">лютого 2022 року та в період дії </w:t>
      </w:r>
      <w:r w:rsidR="00C90D33" w:rsidRPr="00E52248">
        <w:rPr>
          <w:color w:val="000000" w:themeColor="text1"/>
        </w:rPr>
        <w:t>Указу 64/2022</w:t>
      </w:r>
      <w:r w:rsidRPr="00E52248">
        <w:rPr>
          <w:color w:val="000000" w:themeColor="text1"/>
        </w:rPr>
        <w:t xml:space="preserve"> підстав для подання інформації та документів, передбачених Положенням</w:t>
      </w:r>
      <w:r w:rsidR="008B7073" w:rsidRPr="00E52248">
        <w:rPr>
          <w:color w:val="000000" w:themeColor="text1"/>
        </w:rPr>
        <w:t xml:space="preserve"> про ліцензування та реєстрацію, а також </w:t>
      </w:r>
      <w:r w:rsidRPr="00E52248">
        <w:rPr>
          <w:color w:val="000000" w:themeColor="text1"/>
        </w:rPr>
        <w:t xml:space="preserve">нормативно-правовими актами Національного банку, зазначеними в додатку до цієї постанови, подають відповідну інформацію та документи протягом 15 робочих днів </w:t>
      </w:r>
      <w:r w:rsidR="00C30AAA">
        <w:rPr>
          <w:color w:val="000000" w:themeColor="text1"/>
        </w:rPr>
        <w:t>і</w:t>
      </w:r>
      <w:r w:rsidRPr="00E52248">
        <w:rPr>
          <w:color w:val="000000" w:themeColor="text1"/>
        </w:rPr>
        <w:t xml:space="preserve">з дати закінчення дії </w:t>
      </w:r>
      <w:r w:rsidR="00C90D33" w:rsidRPr="00E52248">
        <w:rPr>
          <w:color w:val="000000" w:themeColor="text1"/>
        </w:rPr>
        <w:t>Указу 64/2022.</w:t>
      </w:r>
    </w:p>
    <w:p w14:paraId="2FE4135B" w14:textId="32C667FD" w:rsidR="001119F2" w:rsidRPr="00E52248" w:rsidRDefault="00714CB7" w:rsidP="00E52248">
      <w:pPr>
        <w:tabs>
          <w:tab w:val="left" w:pos="993"/>
        </w:tabs>
        <w:ind w:firstLine="567"/>
        <w:rPr>
          <w:color w:val="000000" w:themeColor="text1"/>
        </w:rPr>
      </w:pPr>
      <w:r w:rsidRPr="00E52248">
        <w:rPr>
          <w:color w:val="000000" w:themeColor="text1"/>
        </w:rPr>
        <w:t>2</w:t>
      </w:r>
      <w:r w:rsidR="007224B7" w:rsidRPr="00E52248">
        <w:rPr>
          <w:color w:val="000000" w:themeColor="text1"/>
        </w:rPr>
        <w:t>1</w:t>
      </w:r>
      <w:r w:rsidR="001119F2" w:rsidRPr="00E52248">
        <w:rPr>
          <w:color w:val="000000" w:themeColor="text1"/>
        </w:rPr>
        <w:t xml:space="preserve">. Контроль за виконанням цієї постанови покласти на заступників Голови Національного банку Сергія </w:t>
      </w:r>
      <w:proofErr w:type="spellStart"/>
      <w:r w:rsidR="001119F2" w:rsidRPr="00E52248">
        <w:rPr>
          <w:color w:val="000000" w:themeColor="text1"/>
        </w:rPr>
        <w:t>Ніколайчука</w:t>
      </w:r>
      <w:proofErr w:type="spellEnd"/>
      <w:r w:rsidR="001119F2" w:rsidRPr="00E52248">
        <w:rPr>
          <w:color w:val="000000" w:themeColor="text1"/>
        </w:rPr>
        <w:t xml:space="preserve"> та Ярослава </w:t>
      </w:r>
      <w:proofErr w:type="spellStart"/>
      <w:r w:rsidR="001119F2" w:rsidRPr="00E52248">
        <w:rPr>
          <w:color w:val="000000" w:themeColor="text1"/>
        </w:rPr>
        <w:t>Матузку</w:t>
      </w:r>
      <w:proofErr w:type="spellEnd"/>
      <w:r w:rsidR="001119F2" w:rsidRPr="00E52248">
        <w:rPr>
          <w:color w:val="000000" w:themeColor="text1"/>
        </w:rPr>
        <w:t>.</w:t>
      </w:r>
    </w:p>
    <w:p w14:paraId="5BC76026" w14:textId="77777777" w:rsidR="001119F2" w:rsidRPr="00E52248" w:rsidRDefault="001119F2" w:rsidP="00E52248">
      <w:pPr>
        <w:pStyle w:val="af3"/>
        <w:tabs>
          <w:tab w:val="left" w:pos="993"/>
        </w:tabs>
        <w:ind w:left="0" w:firstLine="567"/>
        <w:rPr>
          <w:color w:val="000000" w:themeColor="text1"/>
        </w:rPr>
      </w:pPr>
    </w:p>
    <w:p w14:paraId="0AC086B2" w14:textId="009031FA" w:rsidR="001119F2" w:rsidRPr="00E52248" w:rsidRDefault="00C67D96" w:rsidP="00E52248">
      <w:pPr>
        <w:tabs>
          <w:tab w:val="left" w:pos="993"/>
        </w:tabs>
        <w:ind w:firstLine="567"/>
        <w:rPr>
          <w:color w:val="000000" w:themeColor="text1"/>
        </w:rPr>
      </w:pPr>
      <w:r w:rsidRPr="00E52248">
        <w:rPr>
          <w:color w:val="000000" w:themeColor="text1"/>
        </w:rPr>
        <w:t>2</w:t>
      </w:r>
      <w:r w:rsidR="007224B7" w:rsidRPr="00E52248">
        <w:rPr>
          <w:color w:val="000000" w:themeColor="text1"/>
        </w:rPr>
        <w:t>2</w:t>
      </w:r>
      <w:r w:rsidR="001119F2" w:rsidRPr="00E52248">
        <w:rPr>
          <w:color w:val="000000" w:themeColor="text1"/>
        </w:rPr>
        <w:t xml:space="preserve">. Визнати такою, що втратила чинність, постанову Правління Національного банку України </w:t>
      </w:r>
      <w:r w:rsidR="0062402D" w:rsidRPr="00E52248">
        <w:rPr>
          <w:color w:val="000000" w:themeColor="text1"/>
        </w:rPr>
        <w:t>від 26 лютого 2022 року № 24</w:t>
      </w:r>
      <w:r w:rsidR="0062402D">
        <w:rPr>
          <w:color w:val="000000" w:themeColor="text1"/>
        </w:rPr>
        <w:t xml:space="preserve"> </w:t>
      </w:r>
      <w:r w:rsidR="001119F2" w:rsidRPr="00E52248">
        <w:rPr>
          <w:color w:val="000000" w:themeColor="text1"/>
          <w:lang w:val="ru-RU"/>
        </w:rPr>
        <w:t>“</w:t>
      </w:r>
      <w:r w:rsidR="001119F2" w:rsidRPr="00E52248">
        <w:rPr>
          <w:color w:val="000000" w:themeColor="text1"/>
        </w:rPr>
        <w:t>Про врегулювання діяльності фінансових установ</w:t>
      </w:r>
      <w:r w:rsidR="001119F2" w:rsidRPr="00E52248">
        <w:rPr>
          <w:color w:val="000000" w:themeColor="text1"/>
          <w:lang w:val="ru-RU"/>
        </w:rPr>
        <w:t>”</w:t>
      </w:r>
      <w:r w:rsidR="0062402D">
        <w:rPr>
          <w:color w:val="000000" w:themeColor="text1"/>
          <w:lang w:val="ru-RU"/>
        </w:rPr>
        <w:t>.</w:t>
      </w:r>
      <w:r w:rsidR="001119F2" w:rsidRPr="00E52248">
        <w:rPr>
          <w:color w:val="000000" w:themeColor="text1"/>
        </w:rPr>
        <w:t xml:space="preserve"> </w:t>
      </w:r>
    </w:p>
    <w:p w14:paraId="16FC1BEE" w14:textId="77777777" w:rsidR="00C67D96" w:rsidRPr="00E52248" w:rsidRDefault="00C67D96" w:rsidP="00E52248">
      <w:pPr>
        <w:tabs>
          <w:tab w:val="left" w:pos="993"/>
        </w:tabs>
        <w:ind w:firstLine="567"/>
        <w:rPr>
          <w:color w:val="000000" w:themeColor="text1"/>
        </w:rPr>
      </w:pPr>
    </w:p>
    <w:p w14:paraId="60C834F4" w14:textId="77777777" w:rsidR="00C67D96" w:rsidRPr="00E52248" w:rsidRDefault="00C67D96" w:rsidP="00E52248">
      <w:pPr>
        <w:tabs>
          <w:tab w:val="left" w:pos="993"/>
        </w:tabs>
        <w:ind w:firstLine="567"/>
        <w:rPr>
          <w:color w:val="000000" w:themeColor="text1"/>
        </w:rPr>
      </w:pPr>
      <w:r w:rsidRPr="00E52248">
        <w:rPr>
          <w:color w:val="000000" w:themeColor="text1"/>
        </w:rPr>
        <w:t>2</w:t>
      </w:r>
      <w:r w:rsidR="007224B7" w:rsidRPr="00E52248">
        <w:rPr>
          <w:color w:val="000000" w:themeColor="text1"/>
        </w:rPr>
        <w:t>3</w:t>
      </w:r>
      <w:r w:rsidRPr="00E52248">
        <w:rPr>
          <w:color w:val="000000" w:themeColor="text1"/>
        </w:rPr>
        <w:t xml:space="preserve">. Постанова набирає чинності з дня її </w:t>
      </w:r>
      <w:r w:rsidR="00C90D33" w:rsidRPr="00E52248">
        <w:rPr>
          <w:color w:val="000000" w:themeColor="text1"/>
        </w:rPr>
        <w:t>офіційного опублікування</w:t>
      </w:r>
      <w:r w:rsidRPr="00E52248">
        <w:rPr>
          <w:color w:val="000000" w:themeColor="text1"/>
        </w:rPr>
        <w:t>.</w:t>
      </w:r>
    </w:p>
    <w:p w14:paraId="7BA45705" w14:textId="77777777" w:rsidR="00C67D96" w:rsidRDefault="00C67D96" w:rsidP="00E52248">
      <w:pPr>
        <w:tabs>
          <w:tab w:val="left" w:pos="993"/>
        </w:tabs>
        <w:rPr>
          <w:color w:val="000000" w:themeColor="text1"/>
        </w:rPr>
      </w:pPr>
    </w:p>
    <w:p w14:paraId="6AAB479C" w14:textId="77777777" w:rsidR="00E52248" w:rsidRDefault="00E52248" w:rsidP="00E52248">
      <w:pPr>
        <w:tabs>
          <w:tab w:val="left" w:pos="993"/>
        </w:tabs>
        <w:rPr>
          <w:color w:val="000000" w:themeColor="text1"/>
        </w:rPr>
      </w:pPr>
    </w:p>
    <w:p w14:paraId="47E721FC" w14:textId="77777777" w:rsidR="00E52248" w:rsidRPr="00CD0CD4" w:rsidRDefault="00E52248" w:rsidP="00E52248">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E52248" w:rsidRPr="00CD0CD4" w14:paraId="4E3EBC36" w14:textId="77777777" w:rsidTr="00624B2E">
        <w:tc>
          <w:tcPr>
            <w:tcW w:w="5387" w:type="dxa"/>
            <w:vAlign w:val="bottom"/>
          </w:tcPr>
          <w:p w14:paraId="090F931F" w14:textId="77777777" w:rsidR="00E52248" w:rsidRPr="00CD0CD4" w:rsidRDefault="00E52248" w:rsidP="00624B2E">
            <w:pPr>
              <w:autoSpaceDE w:val="0"/>
              <w:autoSpaceDN w:val="0"/>
              <w:jc w:val="left"/>
            </w:pPr>
            <w:r w:rsidRPr="00675196">
              <w:rPr>
                <w:color w:val="000000"/>
              </w:rPr>
              <w:t>Голова</w:t>
            </w:r>
          </w:p>
        </w:tc>
        <w:tc>
          <w:tcPr>
            <w:tcW w:w="4252" w:type="dxa"/>
            <w:vAlign w:val="bottom"/>
          </w:tcPr>
          <w:p w14:paraId="358BC62F" w14:textId="77777777" w:rsidR="00E52248" w:rsidRPr="00CD0CD4" w:rsidRDefault="00E52248" w:rsidP="00624B2E">
            <w:pPr>
              <w:tabs>
                <w:tab w:val="left" w:pos="7020"/>
                <w:tab w:val="left" w:pos="7200"/>
              </w:tabs>
              <w:autoSpaceDE w:val="0"/>
              <w:autoSpaceDN w:val="0"/>
              <w:ind w:left="32"/>
              <w:jc w:val="right"/>
            </w:pPr>
            <w:r w:rsidRPr="00675196">
              <w:rPr>
                <w:color w:val="000000"/>
              </w:rPr>
              <w:t>Кирило ШЕВЧЕНКО</w:t>
            </w:r>
          </w:p>
        </w:tc>
      </w:tr>
    </w:tbl>
    <w:p w14:paraId="57C733DD" w14:textId="77777777" w:rsidR="00E52248" w:rsidRDefault="00E52248" w:rsidP="00E52248">
      <w:pPr>
        <w:tabs>
          <w:tab w:val="left" w:pos="993"/>
        </w:tabs>
        <w:rPr>
          <w:color w:val="000000" w:themeColor="text1"/>
        </w:rPr>
      </w:pPr>
    </w:p>
    <w:p w14:paraId="101D93BC" w14:textId="77777777" w:rsidR="00E52248" w:rsidRDefault="00E52248" w:rsidP="00E52248">
      <w:pPr>
        <w:tabs>
          <w:tab w:val="left" w:pos="993"/>
        </w:tabs>
        <w:rPr>
          <w:color w:val="000000" w:themeColor="text1"/>
        </w:rPr>
      </w:pPr>
    </w:p>
    <w:p w14:paraId="59B93CBB" w14:textId="77777777" w:rsidR="00F75A28" w:rsidRDefault="00705431" w:rsidP="00705431">
      <w:pPr>
        <w:pBdr>
          <w:top w:val="nil"/>
          <w:left w:val="nil"/>
          <w:bottom w:val="nil"/>
          <w:right w:val="nil"/>
          <w:between w:val="nil"/>
        </w:pBdr>
        <w:tabs>
          <w:tab w:val="left" w:pos="993"/>
        </w:tabs>
        <w:spacing w:after="150"/>
        <w:rPr>
          <w:color w:val="000000"/>
        </w:rPr>
      </w:pPr>
      <w:r w:rsidRPr="00675196">
        <w:rPr>
          <w:color w:val="000000"/>
        </w:rPr>
        <w:t>Інд. 33</w:t>
      </w:r>
    </w:p>
    <w:p w14:paraId="325BBCEF" w14:textId="77777777" w:rsidR="00E52248" w:rsidRDefault="00E52248" w:rsidP="00705431">
      <w:pPr>
        <w:pBdr>
          <w:top w:val="nil"/>
          <w:left w:val="nil"/>
          <w:bottom w:val="nil"/>
          <w:right w:val="nil"/>
          <w:between w:val="nil"/>
        </w:pBdr>
        <w:tabs>
          <w:tab w:val="left" w:pos="993"/>
        </w:tabs>
        <w:spacing w:after="150"/>
        <w:rPr>
          <w:color w:val="000000"/>
        </w:rPr>
      </w:pPr>
    </w:p>
    <w:p w14:paraId="046BDEFD" w14:textId="77777777" w:rsidR="001C3C40" w:rsidRDefault="0071328B" w:rsidP="001C3C40">
      <w:pPr>
        <w:spacing w:after="200" w:line="276" w:lineRule="auto"/>
        <w:rPr>
          <w:color w:val="000000"/>
        </w:rPr>
        <w:sectPr w:rsidR="001C3C40" w:rsidSect="0072779D">
          <w:headerReference w:type="default" r:id="rId14"/>
          <w:pgSz w:w="11906" w:h="16838"/>
          <w:pgMar w:top="567" w:right="567" w:bottom="1701" w:left="1701" w:header="283" w:footer="709" w:gutter="0"/>
          <w:pgNumType w:start="1"/>
          <w:cols w:space="720"/>
          <w:titlePg/>
          <w:docGrid w:linePitch="381"/>
        </w:sectPr>
      </w:pPr>
      <w:r>
        <w:rPr>
          <w:color w:val="000000"/>
        </w:rPr>
        <w:br w:type="page"/>
      </w:r>
    </w:p>
    <w:p w14:paraId="3956524C" w14:textId="77777777" w:rsidR="00D3157C" w:rsidRDefault="00E52248" w:rsidP="00E52248">
      <w:pPr>
        <w:pBdr>
          <w:top w:val="nil"/>
          <w:left w:val="nil"/>
          <w:bottom w:val="nil"/>
          <w:right w:val="nil"/>
          <w:between w:val="nil"/>
        </w:pBdr>
        <w:ind w:left="5812"/>
        <w:jc w:val="left"/>
        <w:rPr>
          <w:color w:val="000000" w:themeColor="text1"/>
        </w:rPr>
      </w:pPr>
      <w:r w:rsidRPr="00E52248">
        <w:rPr>
          <w:color w:val="000000" w:themeColor="text1"/>
        </w:rPr>
        <w:lastRenderedPageBreak/>
        <w:t>Додаток</w:t>
      </w:r>
      <w:r w:rsidR="00D3157C">
        <w:rPr>
          <w:color w:val="000000" w:themeColor="text1"/>
        </w:rPr>
        <w:t xml:space="preserve"> </w:t>
      </w:r>
    </w:p>
    <w:p w14:paraId="3FA004E7" w14:textId="77777777" w:rsidR="00E52248" w:rsidRPr="00E52248" w:rsidRDefault="00E52248" w:rsidP="00E52248">
      <w:pPr>
        <w:pBdr>
          <w:top w:val="nil"/>
          <w:left w:val="nil"/>
          <w:bottom w:val="nil"/>
          <w:right w:val="nil"/>
          <w:between w:val="nil"/>
        </w:pBdr>
        <w:ind w:left="5812"/>
        <w:jc w:val="left"/>
        <w:rPr>
          <w:color w:val="000000" w:themeColor="text1"/>
        </w:rPr>
      </w:pPr>
      <w:r w:rsidRPr="00E52248">
        <w:rPr>
          <w:color w:val="000000" w:themeColor="text1"/>
        </w:rPr>
        <w:t xml:space="preserve">до постанови Правління </w:t>
      </w:r>
    </w:p>
    <w:p w14:paraId="78E8DCD8" w14:textId="77777777" w:rsidR="00E52248" w:rsidRPr="00E52248" w:rsidRDefault="00E52248" w:rsidP="00E52248">
      <w:pPr>
        <w:pBdr>
          <w:top w:val="nil"/>
          <w:left w:val="nil"/>
          <w:bottom w:val="nil"/>
          <w:right w:val="nil"/>
          <w:between w:val="nil"/>
        </w:pBdr>
        <w:ind w:left="5812"/>
        <w:jc w:val="left"/>
        <w:rPr>
          <w:color w:val="000000" w:themeColor="text1"/>
        </w:rPr>
      </w:pPr>
      <w:r w:rsidRPr="00E52248">
        <w:rPr>
          <w:color w:val="000000" w:themeColor="text1"/>
        </w:rPr>
        <w:t xml:space="preserve">Національного банку України </w:t>
      </w:r>
    </w:p>
    <w:p w14:paraId="31C59207" w14:textId="1C1A4AD6" w:rsidR="00C8169B" w:rsidRPr="00E52248" w:rsidRDefault="00C0348B" w:rsidP="00E52248">
      <w:pPr>
        <w:pStyle w:val="10"/>
        <w:keepNext w:val="0"/>
        <w:keepLines w:val="0"/>
        <w:spacing w:before="0"/>
        <w:ind w:left="581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від 06 березня 2022 року № 39</w:t>
      </w:r>
      <w:bookmarkStart w:id="0" w:name="_GoBack"/>
      <w:bookmarkEnd w:id="0"/>
      <w:r>
        <w:rPr>
          <w:rFonts w:ascii="Times New Roman" w:eastAsia="Times New Roman" w:hAnsi="Times New Roman" w:cs="Times New Roman"/>
          <w:color w:val="000000" w:themeColor="text1"/>
          <w:sz w:val="28"/>
          <w:szCs w:val="28"/>
        </w:rPr>
        <w:t xml:space="preserve"> </w:t>
      </w:r>
    </w:p>
    <w:p w14:paraId="037FEDEA" w14:textId="77777777" w:rsidR="00E52248" w:rsidRPr="00E52248" w:rsidRDefault="00E52248" w:rsidP="000A219F">
      <w:pPr>
        <w:jc w:val="center"/>
      </w:pPr>
    </w:p>
    <w:p w14:paraId="5DD6D58A" w14:textId="6F95B286" w:rsidR="0071328B" w:rsidRDefault="0071328B" w:rsidP="00492EA0">
      <w:pPr>
        <w:pStyle w:val="1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Перелік нормативно-правових актів</w:t>
      </w:r>
      <w:r w:rsidR="0067333A">
        <w:rPr>
          <w:rFonts w:ascii="Times New Roman" w:eastAsia="Times New Roman" w:hAnsi="Times New Roman" w:cs="Times New Roman"/>
          <w:color w:val="000000"/>
          <w:sz w:val="28"/>
          <w:szCs w:val="28"/>
        </w:rPr>
        <w:t xml:space="preserve"> Національного банку </w:t>
      </w:r>
    </w:p>
    <w:p w14:paraId="15CAFD6E" w14:textId="77777777" w:rsidR="0071328B" w:rsidRDefault="0071328B" w:rsidP="00492EA0"/>
    <w:p w14:paraId="276926D3" w14:textId="5CEEC300" w:rsidR="00CE5769" w:rsidRPr="000A219F" w:rsidRDefault="002075CE" w:rsidP="000A219F">
      <w:pPr>
        <w:pStyle w:val="af3"/>
        <w:numPr>
          <w:ilvl w:val="0"/>
          <w:numId w:val="3"/>
        </w:numPr>
        <w:tabs>
          <w:tab w:val="left" w:pos="993"/>
        </w:tabs>
        <w:spacing w:before="240" w:after="240"/>
        <w:ind w:left="0" w:firstLine="567"/>
        <w:contextualSpacing w:val="0"/>
        <w:rPr>
          <w:color w:val="000000" w:themeColor="text1"/>
        </w:rPr>
      </w:pPr>
      <w:r w:rsidRPr="000A219F">
        <w:rPr>
          <w:color w:val="000000" w:themeColor="text1"/>
        </w:rPr>
        <w:t>Положення про порядок видачі небанківським фінансовим уст</w:t>
      </w:r>
      <w:r w:rsidR="0065495A" w:rsidRPr="000A219F">
        <w:rPr>
          <w:color w:val="000000" w:themeColor="text1"/>
        </w:rPr>
        <w:t>ановам, операторам поштового зв’язку</w:t>
      </w:r>
      <w:r w:rsidRPr="000A219F">
        <w:rPr>
          <w:color w:val="000000" w:themeColor="text1"/>
        </w:rPr>
        <w:t xml:space="preserve"> ліцензій на здійснення валютних операцій</w:t>
      </w:r>
      <w:r w:rsidR="004904BE" w:rsidRPr="000A219F">
        <w:rPr>
          <w:color w:val="000000" w:themeColor="text1"/>
          <w:lang w:val="ru-RU"/>
        </w:rPr>
        <w:t xml:space="preserve">, </w:t>
      </w:r>
      <w:proofErr w:type="spellStart"/>
      <w:r w:rsidR="004904BE" w:rsidRPr="000A219F">
        <w:rPr>
          <w:color w:val="000000" w:themeColor="text1"/>
          <w:lang w:val="ru-RU"/>
        </w:rPr>
        <w:t>затверджене</w:t>
      </w:r>
      <w:proofErr w:type="spellEnd"/>
      <w:r w:rsidRPr="000A219F">
        <w:rPr>
          <w:color w:val="000000" w:themeColor="text1"/>
          <w:lang w:val="ru-RU"/>
        </w:rPr>
        <w:t xml:space="preserve"> </w:t>
      </w:r>
      <w:r w:rsidRPr="000A219F">
        <w:rPr>
          <w:color w:val="000000" w:themeColor="text1"/>
        </w:rPr>
        <w:t>постановою</w:t>
      </w:r>
      <w:r w:rsidR="009635CD" w:rsidRPr="000A219F">
        <w:rPr>
          <w:color w:val="000000" w:themeColor="text1"/>
        </w:rPr>
        <w:t xml:space="preserve"> Правління Національного банку України від 09 серпня 2002 року № 297</w:t>
      </w:r>
      <w:r w:rsidRPr="000A219F">
        <w:rPr>
          <w:color w:val="000000" w:themeColor="text1"/>
        </w:rPr>
        <w:t xml:space="preserve">, </w:t>
      </w:r>
      <w:r w:rsidR="00176D69" w:rsidRPr="000A219F">
        <w:rPr>
          <w:color w:val="000000" w:themeColor="text1"/>
        </w:rPr>
        <w:t>зареєстроване</w:t>
      </w:r>
      <w:r w:rsidR="0062246E" w:rsidRPr="000A219F">
        <w:rPr>
          <w:color w:val="000000" w:themeColor="text1"/>
        </w:rPr>
        <w:t xml:space="preserve"> в Міністерстві юстиції України </w:t>
      </w:r>
      <w:r w:rsidR="00176D69" w:rsidRPr="000A219F">
        <w:rPr>
          <w:color w:val="000000" w:themeColor="text1"/>
        </w:rPr>
        <w:t>29 серпня 2002</w:t>
      </w:r>
      <w:r w:rsidR="00D3157C">
        <w:rPr>
          <w:color w:val="000000" w:themeColor="text1"/>
        </w:rPr>
        <w:t> </w:t>
      </w:r>
      <w:r w:rsidR="00176D69" w:rsidRPr="000A219F">
        <w:rPr>
          <w:color w:val="000000" w:themeColor="text1"/>
        </w:rPr>
        <w:t>року за № 712/7000 (зі змінами)</w:t>
      </w:r>
      <w:r w:rsidR="00AD7885" w:rsidRPr="000A219F">
        <w:rPr>
          <w:color w:val="000000" w:themeColor="text1"/>
        </w:rPr>
        <w:t>.</w:t>
      </w:r>
    </w:p>
    <w:p w14:paraId="08033988" w14:textId="15F9C60D" w:rsidR="0097049B" w:rsidRPr="000A219F" w:rsidRDefault="00AD7885" w:rsidP="000A219F">
      <w:pPr>
        <w:pStyle w:val="af3"/>
        <w:numPr>
          <w:ilvl w:val="0"/>
          <w:numId w:val="3"/>
        </w:numPr>
        <w:tabs>
          <w:tab w:val="left" w:pos="993"/>
        </w:tabs>
        <w:spacing w:before="240" w:after="240"/>
        <w:ind w:left="0" w:firstLine="567"/>
        <w:contextualSpacing w:val="0"/>
        <w:rPr>
          <w:color w:val="000000" w:themeColor="text1"/>
        </w:rPr>
      </w:pPr>
      <w:r w:rsidRPr="000A219F">
        <w:rPr>
          <w:color w:val="000000" w:themeColor="text1"/>
        </w:rPr>
        <w:t>Положення про порядок реєстрації платіжних систем, учасників платіжних систем та операторів послуг платіжної інфраструктури</w:t>
      </w:r>
      <w:r w:rsidR="004904BE" w:rsidRPr="000A219F">
        <w:rPr>
          <w:color w:val="000000" w:themeColor="text1"/>
        </w:rPr>
        <w:t>, затверджене</w:t>
      </w:r>
      <w:r w:rsidRPr="000A219F">
        <w:rPr>
          <w:color w:val="000000" w:themeColor="text1"/>
        </w:rPr>
        <w:t xml:space="preserve"> </w:t>
      </w:r>
      <w:r w:rsidR="009635CD" w:rsidRPr="000A219F">
        <w:rPr>
          <w:color w:val="000000" w:themeColor="text1"/>
        </w:rPr>
        <w:t>постанов</w:t>
      </w:r>
      <w:r w:rsidRPr="000A219F">
        <w:rPr>
          <w:color w:val="000000" w:themeColor="text1"/>
        </w:rPr>
        <w:t>ою</w:t>
      </w:r>
      <w:r w:rsidR="009635CD" w:rsidRPr="000A219F">
        <w:rPr>
          <w:color w:val="000000" w:themeColor="text1"/>
        </w:rPr>
        <w:t xml:space="preserve"> Правління Національного банку України від 04 лютого 2014 року №</w:t>
      </w:r>
      <w:r w:rsidR="00D3157C">
        <w:rPr>
          <w:color w:val="000000" w:themeColor="text1"/>
        </w:rPr>
        <w:t> </w:t>
      </w:r>
      <w:r w:rsidR="009635CD" w:rsidRPr="000A219F">
        <w:rPr>
          <w:color w:val="000000" w:themeColor="text1"/>
        </w:rPr>
        <w:t>43</w:t>
      </w:r>
      <w:r w:rsidRPr="000A219F">
        <w:rPr>
          <w:color w:val="000000" w:themeColor="text1"/>
        </w:rPr>
        <w:t>, зареєстроване в Міністерстві юстиції</w:t>
      </w:r>
      <w:r w:rsidR="00586B03" w:rsidRPr="000A219F">
        <w:rPr>
          <w:color w:val="000000" w:themeColor="text1"/>
        </w:rPr>
        <w:t xml:space="preserve"> України 05 березня 2014 року №</w:t>
      </w:r>
      <w:r w:rsidR="00D3157C">
        <w:rPr>
          <w:color w:val="000000" w:themeColor="text1"/>
        </w:rPr>
        <w:t> </w:t>
      </w:r>
      <w:r w:rsidR="00586B03" w:rsidRPr="000A219F">
        <w:rPr>
          <w:color w:val="000000" w:themeColor="text1"/>
        </w:rPr>
        <w:t>348/25125 (зі змінами).</w:t>
      </w:r>
    </w:p>
    <w:p w14:paraId="7EC2D7D1" w14:textId="77777777" w:rsidR="00C63A88" w:rsidRPr="000A219F" w:rsidRDefault="002B4094" w:rsidP="000A219F">
      <w:pPr>
        <w:pStyle w:val="af3"/>
        <w:numPr>
          <w:ilvl w:val="0"/>
          <w:numId w:val="3"/>
        </w:numPr>
        <w:pBdr>
          <w:top w:val="nil"/>
          <w:left w:val="nil"/>
          <w:bottom w:val="nil"/>
          <w:right w:val="nil"/>
          <w:between w:val="nil"/>
        </w:pBdr>
        <w:tabs>
          <w:tab w:val="left" w:pos="993"/>
        </w:tabs>
        <w:spacing w:before="240" w:after="240"/>
        <w:ind w:left="0" w:firstLine="567"/>
        <w:contextualSpacing w:val="0"/>
        <w:rPr>
          <w:color w:val="000000" w:themeColor="text1"/>
        </w:rPr>
      </w:pPr>
      <w:r w:rsidRPr="000A219F">
        <w:rPr>
          <w:color w:val="000000" w:themeColor="text1"/>
        </w:rPr>
        <w:t>Положення про порядок видачі юридичним особам ліцензії на надання банкам послуг з інкасації</w:t>
      </w:r>
      <w:r w:rsidR="00CE5769" w:rsidRPr="000A219F">
        <w:rPr>
          <w:color w:val="000000" w:themeColor="text1"/>
        </w:rPr>
        <w:t>,</w:t>
      </w:r>
      <w:r w:rsidR="004904BE" w:rsidRPr="000A219F">
        <w:rPr>
          <w:color w:val="000000" w:themeColor="text1"/>
          <w:lang w:val="ru-RU"/>
        </w:rPr>
        <w:t xml:space="preserve"> </w:t>
      </w:r>
      <w:proofErr w:type="spellStart"/>
      <w:r w:rsidR="004904BE" w:rsidRPr="000A219F">
        <w:rPr>
          <w:color w:val="000000" w:themeColor="text1"/>
          <w:lang w:val="ru-RU"/>
        </w:rPr>
        <w:t>затверджене</w:t>
      </w:r>
      <w:proofErr w:type="spellEnd"/>
      <w:r w:rsidR="00CE5769" w:rsidRPr="000A219F">
        <w:rPr>
          <w:color w:val="000000" w:themeColor="text1"/>
          <w:lang w:val="ru-RU"/>
        </w:rPr>
        <w:t xml:space="preserve"> </w:t>
      </w:r>
      <w:proofErr w:type="spellStart"/>
      <w:r w:rsidR="00CE5769" w:rsidRPr="000A219F">
        <w:rPr>
          <w:color w:val="000000" w:themeColor="text1"/>
          <w:lang w:val="ru-RU"/>
        </w:rPr>
        <w:t>постановою</w:t>
      </w:r>
      <w:proofErr w:type="spellEnd"/>
      <w:r w:rsidR="00CE5769" w:rsidRPr="000A219F">
        <w:rPr>
          <w:color w:val="000000" w:themeColor="text1"/>
          <w:lang w:val="ru-RU"/>
        </w:rPr>
        <w:t xml:space="preserve"> Правління Національного банку України </w:t>
      </w:r>
      <w:r w:rsidR="00CE5769" w:rsidRPr="000A219F">
        <w:rPr>
          <w:color w:val="000000" w:themeColor="text1"/>
        </w:rPr>
        <w:t>від 24 грудня 2015 року № 926</w:t>
      </w:r>
      <w:r w:rsidRPr="000A219F">
        <w:rPr>
          <w:color w:val="000000" w:themeColor="text1"/>
        </w:rPr>
        <w:t xml:space="preserve"> (зі змінами)</w:t>
      </w:r>
      <w:r w:rsidR="00CE5769" w:rsidRPr="000A219F">
        <w:rPr>
          <w:color w:val="000000" w:themeColor="text1"/>
          <w:lang w:val="ru-RU"/>
        </w:rPr>
        <w:t>.</w:t>
      </w:r>
    </w:p>
    <w:p w14:paraId="13DE5CB9" w14:textId="2A2F94F3" w:rsidR="0097049B" w:rsidRPr="000A219F" w:rsidRDefault="00C8169B" w:rsidP="000A219F">
      <w:pPr>
        <w:pStyle w:val="af3"/>
        <w:numPr>
          <w:ilvl w:val="0"/>
          <w:numId w:val="3"/>
        </w:numPr>
        <w:tabs>
          <w:tab w:val="left" w:pos="993"/>
        </w:tabs>
        <w:spacing w:before="240" w:after="240"/>
        <w:ind w:left="0" w:firstLine="567"/>
        <w:contextualSpacing w:val="0"/>
        <w:rPr>
          <w:color w:val="000000" w:themeColor="text1"/>
        </w:rPr>
      </w:pPr>
      <w:r w:rsidRPr="000A219F">
        <w:rPr>
          <w:color w:val="000000" w:themeColor="text1"/>
        </w:rPr>
        <w:t>Положення про порядок видачі ліцензії на переказ коштів у національні</w:t>
      </w:r>
      <w:r w:rsidR="00691C32" w:rsidRPr="000A219F">
        <w:rPr>
          <w:color w:val="000000" w:themeColor="text1"/>
        </w:rPr>
        <w:t>й валюті без в</w:t>
      </w:r>
      <w:r w:rsidR="004904BE" w:rsidRPr="000A219F">
        <w:rPr>
          <w:color w:val="000000" w:themeColor="text1"/>
        </w:rPr>
        <w:t>ідкриття рахунків, затверджене</w:t>
      </w:r>
      <w:r w:rsidR="00691C32" w:rsidRPr="000A219F">
        <w:rPr>
          <w:color w:val="000000" w:themeColor="text1"/>
        </w:rPr>
        <w:t xml:space="preserve"> постановою Правління Національного банку України від 17 серпня 2017 року № 80</w:t>
      </w:r>
      <w:r w:rsidR="00D602CA" w:rsidRPr="000A219F">
        <w:rPr>
          <w:color w:val="000000" w:themeColor="text1"/>
        </w:rPr>
        <w:t xml:space="preserve"> (у редакції постанови Правління </w:t>
      </w:r>
      <w:r w:rsidR="00CD3294" w:rsidRPr="000A219F">
        <w:rPr>
          <w:color w:val="000000" w:themeColor="text1"/>
        </w:rPr>
        <w:t>Національного банку України</w:t>
      </w:r>
      <w:r w:rsidR="00D602CA" w:rsidRPr="000A219F">
        <w:rPr>
          <w:color w:val="000000" w:themeColor="text1"/>
        </w:rPr>
        <w:t xml:space="preserve"> від 24 грудня 2020 року №</w:t>
      </w:r>
      <w:r w:rsidR="00D3157C">
        <w:rPr>
          <w:color w:val="000000" w:themeColor="text1"/>
        </w:rPr>
        <w:t> </w:t>
      </w:r>
      <w:r w:rsidR="00D602CA" w:rsidRPr="000A219F">
        <w:rPr>
          <w:color w:val="000000" w:themeColor="text1"/>
        </w:rPr>
        <w:t>168)</w:t>
      </w:r>
      <w:r w:rsidR="00691C32" w:rsidRPr="000A219F">
        <w:rPr>
          <w:color w:val="000000" w:themeColor="text1"/>
        </w:rPr>
        <w:t xml:space="preserve"> (зі змінами)</w:t>
      </w:r>
      <w:r w:rsidR="004904BE" w:rsidRPr="000A219F">
        <w:rPr>
          <w:color w:val="000000" w:themeColor="text1"/>
        </w:rPr>
        <w:t>.</w:t>
      </w:r>
    </w:p>
    <w:p w14:paraId="5497D8FB" w14:textId="77777777" w:rsidR="00C63A88" w:rsidRPr="000A219F" w:rsidRDefault="009635CD" w:rsidP="000A219F">
      <w:pPr>
        <w:pStyle w:val="af3"/>
        <w:numPr>
          <w:ilvl w:val="0"/>
          <w:numId w:val="3"/>
        </w:numPr>
        <w:tabs>
          <w:tab w:val="left" w:pos="993"/>
        </w:tabs>
        <w:spacing w:before="240" w:after="240"/>
        <w:ind w:left="0" w:firstLine="567"/>
        <w:contextualSpacing w:val="0"/>
        <w:rPr>
          <w:color w:val="000000" w:themeColor="text1"/>
        </w:rPr>
      </w:pPr>
      <w:r w:rsidRPr="000A219F">
        <w:rPr>
          <w:color w:val="000000" w:themeColor="text1"/>
        </w:rPr>
        <w:t>Положення про порядок видачі ліцензії на торгівлю валютними цінностями</w:t>
      </w:r>
      <w:r w:rsidR="004904BE" w:rsidRPr="000A219F">
        <w:rPr>
          <w:color w:val="000000" w:themeColor="text1"/>
          <w:lang w:val="ru-RU"/>
        </w:rPr>
        <w:t xml:space="preserve">, </w:t>
      </w:r>
      <w:proofErr w:type="spellStart"/>
      <w:r w:rsidR="004904BE" w:rsidRPr="000A219F">
        <w:rPr>
          <w:color w:val="000000" w:themeColor="text1"/>
          <w:lang w:val="ru-RU"/>
        </w:rPr>
        <w:t>затверджене</w:t>
      </w:r>
      <w:proofErr w:type="spellEnd"/>
      <w:r w:rsidR="00691C32" w:rsidRPr="000A219F">
        <w:rPr>
          <w:color w:val="000000" w:themeColor="text1"/>
          <w:lang w:val="ru-RU"/>
        </w:rPr>
        <w:t xml:space="preserve"> </w:t>
      </w:r>
      <w:r w:rsidR="00691C32" w:rsidRPr="000A219F">
        <w:rPr>
          <w:color w:val="000000" w:themeColor="text1"/>
        </w:rPr>
        <w:t xml:space="preserve">постановою Правління Національного банку України від </w:t>
      </w:r>
      <w:r w:rsidR="00C66514" w:rsidRPr="000A219F">
        <w:rPr>
          <w:color w:val="000000" w:themeColor="text1"/>
        </w:rPr>
        <w:t xml:space="preserve">26 березня 2021 року № </w:t>
      </w:r>
      <w:r w:rsidR="00691C32" w:rsidRPr="000A219F">
        <w:rPr>
          <w:color w:val="000000" w:themeColor="text1"/>
        </w:rPr>
        <w:t>26</w:t>
      </w:r>
      <w:r w:rsidR="004904BE" w:rsidRPr="000A219F">
        <w:rPr>
          <w:color w:val="000000" w:themeColor="text1"/>
        </w:rPr>
        <w:t>.</w:t>
      </w:r>
    </w:p>
    <w:p w14:paraId="606C02BA" w14:textId="7E71F8E7" w:rsidR="00C63A88" w:rsidRPr="000A219F" w:rsidRDefault="009635CD" w:rsidP="000A219F">
      <w:pPr>
        <w:pStyle w:val="af3"/>
        <w:numPr>
          <w:ilvl w:val="0"/>
          <w:numId w:val="3"/>
        </w:numPr>
        <w:tabs>
          <w:tab w:val="left" w:pos="993"/>
        </w:tabs>
        <w:spacing w:before="240" w:after="240"/>
        <w:ind w:left="0" w:firstLine="567"/>
        <w:contextualSpacing w:val="0"/>
        <w:rPr>
          <w:color w:val="000000" w:themeColor="text1"/>
        </w:rPr>
      </w:pPr>
      <w:r w:rsidRPr="000A219F">
        <w:rPr>
          <w:color w:val="000000" w:themeColor="text1"/>
        </w:rPr>
        <w:t>Положення про вимоги до структури власності надавачів фінансових послуг</w:t>
      </w:r>
      <w:r w:rsidR="004904BE" w:rsidRPr="000A219F">
        <w:rPr>
          <w:color w:val="000000" w:themeColor="text1"/>
          <w:lang w:val="ru-RU"/>
        </w:rPr>
        <w:t xml:space="preserve">, </w:t>
      </w:r>
      <w:proofErr w:type="spellStart"/>
      <w:r w:rsidR="004904BE" w:rsidRPr="000A219F">
        <w:rPr>
          <w:color w:val="000000" w:themeColor="text1"/>
          <w:lang w:val="ru-RU"/>
        </w:rPr>
        <w:t>зат</w:t>
      </w:r>
      <w:r w:rsidR="00BC29C3" w:rsidRPr="000A219F">
        <w:rPr>
          <w:color w:val="000000" w:themeColor="text1"/>
          <w:lang w:val="ru-RU"/>
        </w:rPr>
        <w:t>верджене</w:t>
      </w:r>
      <w:proofErr w:type="spellEnd"/>
      <w:r w:rsidR="00BC29C3" w:rsidRPr="000A219F">
        <w:rPr>
          <w:color w:val="000000" w:themeColor="text1"/>
          <w:lang w:val="ru-RU"/>
        </w:rPr>
        <w:t xml:space="preserve"> </w:t>
      </w:r>
      <w:r w:rsidR="00BC29C3" w:rsidRPr="000A219F">
        <w:rPr>
          <w:color w:val="000000" w:themeColor="text1"/>
        </w:rPr>
        <w:t>постановою Правління Національного банку України від 1</w:t>
      </w:r>
      <w:r w:rsidR="00C66514" w:rsidRPr="000A219F">
        <w:rPr>
          <w:color w:val="000000" w:themeColor="text1"/>
          <w:lang w:val="ru-RU"/>
        </w:rPr>
        <w:t>4</w:t>
      </w:r>
      <w:r w:rsidR="00D3157C">
        <w:rPr>
          <w:color w:val="000000" w:themeColor="text1"/>
          <w:lang w:val="ru-RU"/>
        </w:rPr>
        <w:t> </w:t>
      </w:r>
      <w:r w:rsidR="00BC29C3" w:rsidRPr="000A219F">
        <w:rPr>
          <w:color w:val="000000" w:themeColor="text1"/>
        </w:rPr>
        <w:t>квітня 2021 року № 30.</w:t>
      </w:r>
    </w:p>
    <w:p w14:paraId="2AB188D7" w14:textId="77777777" w:rsidR="00492EA0" w:rsidRPr="000A219F" w:rsidRDefault="009635CD" w:rsidP="000A219F">
      <w:pPr>
        <w:pStyle w:val="af3"/>
        <w:numPr>
          <w:ilvl w:val="0"/>
          <w:numId w:val="3"/>
        </w:numPr>
        <w:pBdr>
          <w:top w:val="nil"/>
          <w:left w:val="nil"/>
          <w:bottom w:val="nil"/>
          <w:right w:val="nil"/>
          <w:between w:val="nil"/>
        </w:pBdr>
        <w:tabs>
          <w:tab w:val="left" w:pos="993"/>
        </w:tabs>
        <w:spacing w:before="120" w:after="240"/>
        <w:ind w:left="0" w:firstLine="567"/>
        <w:contextualSpacing w:val="0"/>
        <w:rPr>
          <w:color w:val="000000" w:themeColor="text1"/>
        </w:rPr>
      </w:pPr>
      <w:r w:rsidRPr="000A219F">
        <w:rPr>
          <w:color w:val="000000" w:themeColor="text1"/>
        </w:rPr>
        <w:t>Положення про реєстрацію колекторських компаній</w:t>
      </w:r>
      <w:r w:rsidR="00BC29C3" w:rsidRPr="000A219F">
        <w:rPr>
          <w:color w:val="000000" w:themeColor="text1"/>
          <w:lang w:val="ru-RU"/>
        </w:rPr>
        <w:t xml:space="preserve">, </w:t>
      </w:r>
      <w:proofErr w:type="spellStart"/>
      <w:r w:rsidR="00BC29C3" w:rsidRPr="000A219F">
        <w:rPr>
          <w:color w:val="000000" w:themeColor="text1"/>
          <w:lang w:val="ru-RU"/>
        </w:rPr>
        <w:t>затверджене</w:t>
      </w:r>
      <w:proofErr w:type="spellEnd"/>
      <w:r w:rsidR="00BC29C3" w:rsidRPr="000A219F">
        <w:rPr>
          <w:color w:val="000000" w:themeColor="text1"/>
          <w:lang w:val="ru-RU"/>
        </w:rPr>
        <w:t xml:space="preserve"> </w:t>
      </w:r>
      <w:r w:rsidR="00BC29C3" w:rsidRPr="000A219F">
        <w:rPr>
          <w:color w:val="000000" w:themeColor="text1"/>
        </w:rPr>
        <w:t xml:space="preserve">постановою Правління Національного банку України від 09 липня 2021 року </w:t>
      </w:r>
      <w:r w:rsidR="00C66514" w:rsidRPr="000A219F">
        <w:rPr>
          <w:color w:val="000000" w:themeColor="text1"/>
        </w:rPr>
        <w:t>№</w:t>
      </w:r>
      <w:r w:rsidR="00D3157C">
        <w:rPr>
          <w:color w:val="000000" w:themeColor="text1"/>
        </w:rPr>
        <w:t> </w:t>
      </w:r>
      <w:r w:rsidR="00BC29C3" w:rsidRPr="000A219F">
        <w:rPr>
          <w:color w:val="000000" w:themeColor="text1"/>
        </w:rPr>
        <w:t>75</w:t>
      </w:r>
      <w:r w:rsidRPr="000A219F">
        <w:rPr>
          <w:color w:val="000000" w:themeColor="text1"/>
          <w:lang w:val="ru-RU"/>
        </w:rPr>
        <w:t>.</w:t>
      </w:r>
    </w:p>
    <w:p w14:paraId="77DB6FD3" w14:textId="77777777" w:rsidR="00B64E3D" w:rsidRPr="000A219F" w:rsidRDefault="00484747" w:rsidP="000A219F">
      <w:pPr>
        <w:pStyle w:val="af3"/>
        <w:numPr>
          <w:ilvl w:val="0"/>
          <w:numId w:val="3"/>
        </w:numPr>
        <w:pBdr>
          <w:top w:val="nil"/>
          <w:left w:val="nil"/>
          <w:bottom w:val="nil"/>
          <w:right w:val="nil"/>
          <w:between w:val="nil"/>
        </w:pBdr>
        <w:tabs>
          <w:tab w:val="left" w:pos="993"/>
        </w:tabs>
        <w:spacing w:before="240" w:after="240"/>
        <w:ind w:left="0" w:firstLine="567"/>
        <w:contextualSpacing w:val="0"/>
        <w:rPr>
          <w:color w:val="000000" w:themeColor="text1"/>
        </w:rPr>
      </w:pPr>
      <w:r w:rsidRPr="000A219F">
        <w:rPr>
          <w:color w:val="000000" w:themeColor="text1"/>
        </w:rPr>
        <w:t>Положення про порядок нагляду на консолідованій основі за небанківськими фінансовими групами</w:t>
      </w:r>
      <w:r w:rsidR="00156450" w:rsidRPr="000A219F">
        <w:rPr>
          <w:color w:val="000000" w:themeColor="text1"/>
          <w:lang w:val="ru-RU"/>
        </w:rPr>
        <w:t xml:space="preserve">, </w:t>
      </w:r>
      <w:proofErr w:type="spellStart"/>
      <w:r w:rsidR="00156450" w:rsidRPr="000A219F">
        <w:rPr>
          <w:color w:val="000000" w:themeColor="text1"/>
          <w:lang w:val="ru-RU"/>
        </w:rPr>
        <w:t>затверджене</w:t>
      </w:r>
      <w:proofErr w:type="spellEnd"/>
      <w:r w:rsidR="00156450" w:rsidRPr="000A219F">
        <w:rPr>
          <w:color w:val="000000" w:themeColor="text1"/>
          <w:lang w:val="ru-RU"/>
        </w:rPr>
        <w:t xml:space="preserve"> </w:t>
      </w:r>
      <w:r w:rsidR="00156450" w:rsidRPr="000A219F">
        <w:rPr>
          <w:color w:val="000000" w:themeColor="text1"/>
        </w:rPr>
        <w:t>постановою Правління Національного банку України від 02 грудня 2021 року № 128</w:t>
      </w:r>
      <w:r w:rsidR="00156450" w:rsidRPr="000A219F">
        <w:rPr>
          <w:color w:val="000000" w:themeColor="text1"/>
          <w:lang w:val="ru-RU"/>
        </w:rPr>
        <w:t>.</w:t>
      </w:r>
    </w:p>
    <w:sectPr w:rsidR="00B64E3D" w:rsidRPr="000A219F" w:rsidSect="000A219F">
      <w:pgSz w:w="11906" w:h="16838"/>
      <w:pgMar w:top="567" w:right="567" w:bottom="1701" w:left="1701" w:header="283"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A4B28" w14:textId="77777777" w:rsidR="008126DF" w:rsidRDefault="008126DF" w:rsidP="00E53CCD">
      <w:r>
        <w:separator/>
      </w:r>
    </w:p>
  </w:endnote>
  <w:endnote w:type="continuationSeparator" w:id="0">
    <w:p w14:paraId="3C533549" w14:textId="77777777" w:rsidR="008126DF" w:rsidRDefault="008126DF" w:rsidP="00E53CCD">
      <w:r>
        <w:continuationSeparator/>
      </w:r>
    </w:p>
  </w:endnote>
  <w:endnote w:type="continuationNotice" w:id="1">
    <w:p w14:paraId="4F001350" w14:textId="77777777" w:rsidR="008126DF" w:rsidRDefault="00812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63E89" w14:textId="77777777" w:rsidR="008126DF" w:rsidRDefault="008126DF" w:rsidP="00E53CCD">
      <w:r>
        <w:separator/>
      </w:r>
    </w:p>
  </w:footnote>
  <w:footnote w:type="continuationSeparator" w:id="0">
    <w:p w14:paraId="7E50C470" w14:textId="77777777" w:rsidR="008126DF" w:rsidRDefault="008126DF" w:rsidP="00E53CCD">
      <w:r>
        <w:continuationSeparator/>
      </w:r>
    </w:p>
  </w:footnote>
  <w:footnote w:type="continuationNotice" w:id="1">
    <w:p w14:paraId="6C529730" w14:textId="77777777" w:rsidR="008126DF" w:rsidRDefault="008126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924023"/>
      <w:docPartObj>
        <w:docPartGallery w:val="Page Numbers (Top of Page)"/>
        <w:docPartUnique/>
      </w:docPartObj>
    </w:sdtPr>
    <w:sdtEndPr/>
    <w:sdtContent>
      <w:p w14:paraId="6668C4C4" w14:textId="61674F89" w:rsidR="001C3C40" w:rsidRDefault="001C3C40">
        <w:pPr>
          <w:pStyle w:val="a5"/>
          <w:jc w:val="center"/>
        </w:pPr>
        <w:r>
          <w:fldChar w:fldCharType="begin"/>
        </w:r>
        <w:r>
          <w:instrText>PAGE   \* MERGEFORMAT</w:instrText>
        </w:r>
        <w:r>
          <w:fldChar w:fldCharType="separate"/>
        </w:r>
        <w:r w:rsidR="00C0348B">
          <w:rPr>
            <w:noProof/>
          </w:rPr>
          <w:t>8</w:t>
        </w:r>
        <w:r>
          <w:fldChar w:fldCharType="end"/>
        </w:r>
      </w:p>
    </w:sdtContent>
  </w:sdt>
  <w:p w14:paraId="5C517056" w14:textId="77777777" w:rsidR="001C3C40" w:rsidRDefault="001C3C4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4BED"/>
    <w:multiLevelType w:val="hybridMultilevel"/>
    <w:tmpl w:val="A94E8F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B0A03E6"/>
    <w:multiLevelType w:val="multilevel"/>
    <w:tmpl w:val="7A1058C2"/>
    <w:styleLink w:val="1"/>
    <w:lvl w:ilvl="0">
      <w:start w:val="2"/>
      <w:numFmt w:val="upperRoman"/>
      <w:lvlText w:val="%1."/>
      <w:lvlJc w:val="right"/>
      <w:pPr>
        <w:ind w:left="1778" w:hanging="360"/>
      </w:pPr>
      <w:rPr>
        <w:rFonts w:ascii="Times New Roman" w:eastAsia="Times New Roman" w:hAnsi="Times New Roman" w:cs="Times New Roman" w:hint="default"/>
        <w:b w:val="0"/>
        <w:sz w:val="28"/>
        <w:szCs w:val="28"/>
      </w:rPr>
    </w:lvl>
    <w:lvl w:ilvl="1">
      <w:start w:val="5"/>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CF50BE6"/>
    <w:multiLevelType w:val="hybridMultilevel"/>
    <w:tmpl w:val="4C189212"/>
    <w:lvl w:ilvl="0" w:tplc="739486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grammar="clean"/>
  <w:defaultTabStop w:val="992"/>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46D3"/>
    <w:rsid w:val="000064FA"/>
    <w:rsid w:val="000069AF"/>
    <w:rsid w:val="0000711A"/>
    <w:rsid w:val="0001132C"/>
    <w:rsid w:val="00014790"/>
    <w:rsid w:val="00015CF3"/>
    <w:rsid w:val="00015FDE"/>
    <w:rsid w:val="00020C04"/>
    <w:rsid w:val="000228B9"/>
    <w:rsid w:val="000246FC"/>
    <w:rsid w:val="00024E8E"/>
    <w:rsid w:val="00025D05"/>
    <w:rsid w:val="00026558"/>
    <w:rsid w:val="00027408"/>
    <w:rsid w:val="000317E9"/>
    <w:rsid w:val="0003192B"/>
    <w:rsid w:val="0003297C"/>
    <w:rsid w:val="0003331E"/>
    <w:rsid w:val="000342A5"/>
    <w:rsid w:val="00036D19"/>
    <w:rsid w:val="0003793C"/>
    <w:rsid w:val="0004103F"/>
    <w:rsid w:val="0004128E"/>
    <w:rsid w:val="00044290"/>
    <w:rsid w:val="00046405"/>
    <w:rsid w:val="00047091"/>
    <w:rsid w:val="00050CC2"/>
    <w:rsid w:val="00050F94"/>
    <w:rsid w:val="00051F0A"/>
    <w:rsid w:val="0005332B"/>
    <w:rsid w:val="000543C6"/>
    <w:rsid w:val="000547A6"/>
    <w:rsid w:val="00055BBB"/>
    <w:rsid w:val="000600A8"/>
    <w:rsid w:val="0006107D"/>
    <w:rsid w:val="00061C52"/>
    <w:rsid w:val="00063480"/>
    <w:rsid w:val="000638F2"/>
    <w:rsid w:val="00063B39"/>
    <w:rsid w:val="00070583"/>
    <w:rsid w:val="00080C43"/>
    <w:rsid w:val="0008263B"/>
    <w:rsid w:val="00086928"/>
    <w:rsid w:val="00093F1A"/>
    <w:rsid w:val="00095022"/>
    <w:rsid w:val="000A219F"/>
    <w:rsid w:val="000A2C8E"/>
    <w:rsid w:val="000A6139"/>
    <w:rsid w:val="000B25DE"/>
    <w:rsid w:val="000B2990"/>
    <w:rsid w:val="000C20B5"/>
    <w:rsid w:val="000C2330"/>
    <w:rsid w:val="000C2A42"/>
    <w:rsid w:val="000C56D4"/>
    <w:rsid w:val="000C5D45"/>
    <w:rsid w:val="000D04D7"/>
    <w:rsid w:val="000D610F"/>
    <w:rsid w:val="000D63BD"/>
    <w:rsid w:val="000D778F"/>
    <w:rsid w:val="000E0CB3"/>
    <w:rsid w:val="000E3F46"/>
    <w:rsid w:val="000E5A0C"/>
    <w:rsid w:val="000E5B8C"/>
    <w:rsid w:val="000E7A13"/>
    <w:rsid w:val="000F083C"/>
    <w:rsid w:val="000F086E"/>
    <w:rsid w:val="000F3239"/>
    <w:rsid w:val="000F7474"/>
    <w:rsid w:val="0010392F"/>
    <w:rsid w:val="00105F7C"/>
    <w:rsid w:val="00106229"/>
    <w:rsid w:val="001071A9"/>
    <w:rsid w:val="00110218"/>
    <w:rsid w:val="001108DF"/>
    <w:rsid w:val="001119F2"/>
    <w:rsid w:val="00115ECF"/>
    <w:rsid w:val="00116A2D"/>
    <w:rsid w:val="00122804"/>
    <w:rsid w:val="00125B16"/>
    <w:rsid w:val="00134CEC"/>
    <w:rsid w:val="0014073F"/>
    <w:rsid w:val="001460DC"/>
    <w:rsid w:val="001462DE"/>
    <w:rsid w:val="0014797C"/>
    <w:rsid w:val="00151D33"/>
    <w:rsid w:val="0015363E"/>
    <w:rsid w:val="00156450"/>
    <w:rsid w:val="001565EC"/>
    <w:rsid w:val="00156A85"/>
    <w:rsid w:val="001627D9"/>
    <w:rsid w:val="001631E2"/>
    <w:rsid w:val="00164E31"/>
    <w:rsid w:val="001716B0"/>
    <w:rsid w:val="00171EC5"/>
    <w:rsid w:val="001724AE"/>
    <w:rsid w:val="00172A2E"/>
    <w:rsid w:val="001740C0"/>
    <w:rsid w:val="00176D69"/>
    <w:rsid w:val="001808B5"/>
    <w:rsid w:val="00181CC1"/>
    <w:rsid w:val="00182CEF"/>
    <w:rsid w:val="00185B50"/>
    <w:rsid w:val="00186522"/>
    <w:rsid w:val="00190E1A"/>
    <w:rsid w:val="00196944"/>
    <w:rsid w:val="001979DE"/>
    <w:rsid w:val="00197E56"/>
    <w:rsid w:val="001A0EE5"/>
    <w:rsid w:val="001A16FA"/>
    <w:rsid w:val="001A1832"/>
    <w:rsid w:val="001A442C"/>
    <w:rsid w:val="001A4CB9"/>
    <w:rsid w:val="001A6795"/>
    <w:rsid w:val="001A67C6"/>
    <w:rsid w:val="001B3015"/>
    <w:rsid w:val="001B4DB0"/>
    <w:rsid w:val="001B501A"/>
    <w:rsid w:val="001B6153"/>
    <w:rsid w:val="001B77E1"/>
    <w:rsid w:val="001C035E"/>
    <w:rsid w:val="001C206C"/>
    <w:rsid w:val="001C3207"/>
    <w:rsid w:val="001C3C40"/>
    <w:rsid w:val="001C4EE6"/>
    <w:rsid w:val="001C74AB"/>
    <w:rsid w:val="001D487A"/>
    <w:rsid w:val="001D494C"/>
    <w:rsid w:val="001D5ADD"/>
    <w:rsid w:val="001E22EC"/>
    <w:rsid w:val="001E2425"/>
    <w:rsid w:val="001E29E9"/>
    <w:rsid w:val="001E5ECE"/>
    <w:rsid w:val="001E6570"/>
    <w:rsid w:val="001E7DCB"/>
    <w:rsid w:val="001F2EEF"/>
    <w:rsid w:val="001F4AF1"/>
    <w:rsid w:val="001F6872"/>
    <w:rsid w:val="0020361F"/>
    <w:rsid w:val="0020448A"/>
    <w:rsid w:val="00206B0E"/>
    <w:rsid w:val="00206E56"/>
    <w:rsid w:val="002075CE"/>
    <w:rsid w:val="00207679"/>
    <w:rsid w:val="002127F3"/>
    <w:rsid w:val="002221D8"/>
    <w:rsid w:val="002238D1"/>
    <w:rsid w:val="002239E0"/>
    <w:rsid w:val="00224140"/>
    <w:rsid w:val="00226A61"/>
    <w:rsid w:val="00232B0B"/>
    <w:rsid w:val="002334F7"/>
    <w:rsid w:val="00233F37"/>
    <w:rsid w:val="00234040"/>
    <w:rsid w:val="00241373"/>
    <w:rsid w:val="00241D96"/>
    <w:rsid w:val="0024217E"/>
    <w:rsid w:val="00243494"/>
    <w:rsid w:val="00244D66"/>
    <w:rsid w:val="00245DF4"/>
    <w:rsid w:val="002460B8"/>
    <w:rsid w:val="00247A30"/>
    <w:rsid w:val="00247ED5"/>
    <w:rsid w:val="002525B2"/>
    <w:rsid w:val="002533B3"/>
    <w:rsid w:val="00253649"/>
    <w:rsid w:val="00253BF9"/>
    <w:rsid w:val="002556D9"/>
    <w:rsid w:val="0025769B"/>
    <w:rsid w:val="00262232"/>
    <w:rsid w:val="00264983"/>
    <w:rsid w:val="00266678"/>
    <w:rsid w:val="00270588"/>
    <w:rsid w:val="00276988"/>
    <w:rsid w:val="00280DCC"/>
    <w:rsid w:val="00284DE6"/>
    <w:rsid w:val="002858E2"/>
    <w:rsid w:val="00285CD6"/>
    <w:rsid w:val="00285DDA"/>
    <w:rsid w:val="00286989"/>
    <w:rsid w:val="00290169"/>
    <w:rsid w:val="00292924"/>
    <w:rsid w:val="00293CDF"/>
    <w:rsid w:val="00293F6E"/>
    <w:rsid w:val="002A2391"/>
    <w:rsid w:val="002A79AF"/>
    <w:rsid w:val="002B1B8C"/>
    <w:rsid w:val="002B351E"/>
    <w:rsid w:val="002B3F71"/>
    <w:rsid w:val="002B4094"/>
    <w:rsid w:val="002B582B"/>
    <w:rsid w:val="002C1FDB"/>
    <w:rsid w:val="002C641B"/>
    <w:rsid w:val="002C7C34"/>
    <w:rsid w:val="002D0B37"/>
    <w:rsid w:val="002D1790"/>
    <w:rsid w:val="002D63AD"/>
    <w:rsid w:val="002D76F8"/>
    <w:rsid w:val="002D7E52"/>
    <w:rsid w:val="002E0A4A"/>
    <w:rsid w:val="002E649C"/>
    <w:rsid w:val="002E6C7F"/>
    <w:rsid w:val="002F1E7D"/>
    <w:rsid w:val="002F200A"/>
    <w:rsid w:val="002F48EF"/>
    <w:rsid w:val="002F512F"/>
    <w:rsid w:val="002F7FE9"/>
    <w:rsid w:val="0030112F"/>
    <w:rsid w:val="00303885"/>
    <w:rsid w:val="00303A8E"/>
    <w:rsid w:val="00307BCF"/>
    <w:rsid w:val="00310709"/>
    <w:rsid w:val="00310C46"/>
    <w:rsid w:val="00311126"/>
    <w:rsid w:val="00315393"/>
    <w:rsid w:val="00315CDD"/>
    <w:rsid w:val="00317304"/>
    <w:rsid w:val="00317441"/>
    <w:rsid w:val="00322112"/>
    <w:rsid w:val="00322515"/>
    <w:rsid w:val="00332701"/>
    <w:rsid w:val="00333642"/>
    <w:rsid w:val="00340D07"/>
    <w:rsid w:val="00342465"/>
    <w:rsid w:val="0034299A"/>
    <w:rsid w:val="003429A6"/>
    <w:rsid w:val="0034349F"/>
    <w:rsid w:val="00345982"/>
    <w:rsid w:val="00356256"/>
    <w:rsid w:val="00356E34"/>
    <w:rsid w:val="00357676"/>
    <w:rsid w:val="00363C67"/>
    <w:rsid w:val="00366C34"/>
    <w:rsid w:val="00375AF8"/>
    <w:rsid w:val="003764A3"/>
    <w:rsid w:val="00380C85"/>
    <w:rsid w:val="00382B5C"/>
    <w:rsid w:val="0038385E"/>
    <w:rsid w:val="00384F65"/>
    <w:rsid w:val="003853DA"/>
    <w:rsid w:val="00386444"/>
    <w:rsid w:val="00391139"/>
    <w:rsid w:val="003944B7"/>
    <w:rsid w:val="00394E99"/>
    <w:rsid w:val="003965E9"/>
    <w:rsid w:val="0039725C"/>
    <w:rsid w:val="003A16E7"/>
    <w:rsid w:val="003A70CC"/>
    <w:rsid w:val="003A751F"/>
    <w:rsid w:val="003B075F"/>
    <w:rsid w:val="003B1817"/>
    <w:rsid w:val="003B6FC0"/>
    <w:rsid w:val="003B7103"/>
    <w:rsid w:val="003C1039"/>
    <w:rsid w:val="003C3282"/>
    <w:rsid w:val="003C3985"/>
    <w:rsid w:val="003C4075"/>
    <w:rsid w:val="003C69EF"/>
    <w:rsid w:val="003C7B02"/>
    <w:rsid w:val="003D1162"/>
    <w:rsid w:val="003D2C86"/>
    <w:rsid w:val="003D6B33"/>
    <w:rsid w:val="003E2305"/>
    <w:rsid w:val="003E5CBF"/>
    <w:rsid w:val="003F0441"/>
    <w:rsid w:val="003F28B5"/>
    <w:rsid w:val="003F3176"/>
    <w:rsid w:val="003F3AFA"/>
    <w:rsid w:val="003F45F6"/>
    <w:rsid w:val="003F69E9"/>
    <w:rsid w:val="003F7093"/>
    <w:rsid w:val="004009CE"/>
    <w:rsid w:val="0040115C"/>
    <w:rsid w:val="00401EDB"/>
    <w:rsid w:val="00404C93"/>
    <w:rsid w:val="004074A7"/>
    <w:rsid w:val="004075EB"/>
    <w:rsid w:val="00407877"/>
    <w:rsid w:val="00410B22"/>
    <w:rsid w:val="004117E3"/>
    <w:rsid w:val="00411A0C"/>
    <w:rsid w:val="004130B9"/>
    <w:rsid w:val="004149AC"/>
    <w:rsid w:val="00417B18"/>
    <w:rsid w:val="004215C0"/>
    <w:rsid w:val="004215D7"/>
    <w:rsid w:val="00426DF0"/>
    <w:rsid w:val="004302DC"/>
    <w:rsid w:val="00433694"/>
    <w:rsid w:val="00435831"/>
    <w:rsid w:val="00440C0B"/>
    <w:rsid w:val="0044292C"/>
    <w:rsid w:val="00444A35"/>
    <w:rsid w:val="00445A45"/>
    <w:rsid w:val="00446704"/>
    <w:rsid w:val="00446955"/>
    <w:rsid w:val="004475C9"/>
    <w:rsid w:val="00451F5E"/>
    <w:rsid w:val="004556D7"/>
    <w:rsid w:val="00455B45"/>
    <w:rsid w:val="00455D9E"/>
    <w:rsid w:val="00457B98"/>
    <w:rsid w:val="00460BA2"/>
    <w:rsid w:val="0046310A"/>
    <w:rsid w:val="004666D6"/>
    <w:rsid w:val="004702F6"/>
    <w:rsid w:val="00471D90"/>
    <w:rsid w:val="00471E84"/>
    <w:rsid w:val="00476E65"/>
    <w:rsid w:val="0048010F"/>
    <w:rsid w:val="00484747"/>
    <w:rsid w:val="00486A13"/>
    <w:rsid w:val="004904BE"/>
    <w:rsid w:val="00492EA0"/>
    <w:rsid w:val="004A026E"/>
    <w:rsid w:val="004A1CFC"/>
    <w:rsid w:val="004A264E"/>
    <w:rsid w:val="004A6C14"/>
    <w:rsid w:val="004A7B83"/>
    <w:rsid w:val="004A7F75"/>
    <w:rsid w:val="004B1FE9"/>
    <w:rsid w:val="004B5574"/>
    <w:rsid w:val="004B64BD"/>
    <w:rsid w:val="004C03E4"/>
    <w:rsid w:val="004C0A94"/>
    <w:rsid w:val="004C21E9"/>
    <w:rsid w:val="004C2237"/>
    <w:rsid w:val="004C4B4B"/>
    <w:rsid w:val="004D2B15"/>
    <w:rsid w:val="004D2B57"/>
    <w:rsid w:val="004D4863"/>
    <w:rsid w:val="004D5D0A"/>
    <w:rsid w:val="004E22E2"/>
    <w:rsid w:val="0050474F"/>
    <w:rsid w:val="0050563F"/>
    <w:rsid w:val="00506383"/>
    <w:rsid w:val="00515DA5"/>
    <w:rsid w:val="005178FB"/>
    <w:rsid w:val="005212A1"/>
    <w:rsid w:val="005212C5"/>
    <w:rsid w:val="00523C13"/>
    <w:rsid w:val="0052404C"/>
    <w:rsid w:val="00524F07"/>
    <w:rsid w:val="005257C2"/>
    <w:rsid w:val="00531BA2"/>
    <w:rsid w:val="00532633"/>
    <w:rsid w:val="005403F1"/>
    <w:rsid w:val="00541B32"/>
    <w:rsid w:val="00542533"/>
    <w:rsid w:val="00553700"/>
    <w:rsid w:val="005624B6"/>
    <w:rsid w:val="00562B8D"/>
    <w:rsid w:val="00562C46"/>
    <w:rsid w:val="0057063F"/>
    <w:rsid w:val="00571BA7"/>
    <w:rsid w:val="00571E29"/>
    <w:rsid w:val="0057237F"/>
    <w:rsid w:val="00573878"/>
    <w:rsid w:val="00574DF9"/>
    <w:rsid w:val="00577402"/>
    <w:rsid w:val="00577CED"/>
    <w:rsid w:val="00580CD2"/>
    <w:rsid w:val="005822CB"/>
    <w:rsid w:val="00584AF0"/>
    <w:rsid w:val="0058644C"/>
    <w:rsid w:val="00586B03"/>
    <w:rsid w:val="00587D02"/>
    <w:rsid w:val="00591798"/>
    <w:rsid w:val="00595ECD"/>
    <w:rsid w:val="00597AB6"/>
    <w:rsid w:val="005A0F4B"/>
    <w:rsid w:val="005A1D3C"/>
    <w:rsid w:val="005A3F34"/>
    <w:rsid w:val="005A540F"/>
    <w:rsid w:val="005A691C"/>
    <w:rsid w:val="005A77B4"/>
    <w:rsid w:val="005B1044"/>
    <w:rsid w:val="005B2D03"/>
    <w:rsid w:val="005B71E1"/>
    <w:rsid w:val="005C1353"/>
    <w:rsid w:val="005C160D"/>
    <w:rsid w:val="005C1CB4"/>
    <w:rsid w:val="005C5CBF"/>
    <w:rsid w:val="005D35BC"/>
    <w:rsid w:val="005D3B88"/>
    <w:rsid w:val="005D3F3C"/>
    <w:rsid w:val="005D45F5"/>
    <w:rsid w:val="005D66F7"/>
    <w:rsid w:val="005D6F1A"/>
    <w:rsid w:val="005D7760"/>
    <w:rsid w:val="005E0C0E"/>
    <w:rsid w:val="005E1956"/>
    <w:rsid w:val="005E3FA8"/>
    <w:rsid w:val="005F0766"/>
    <w:rsid w:val="005F099F"/>
    <w:rsid w:val="005F21BA"/>
    <w:rsid w:val="005F4C7B"/>
    <w:rsid w:val="005F4CB4"/>
    <w:rsid w:val="005F6129"/>
    <w:rsid w:val="005F6B35"/>
    <w:rsid w:val="005F7A93"/>
    <w:rsid w:val="0060094B"/>
    <w:rsid w:val="00612B27"/>
    <w:rsid w:val="00612B5E"/>
    <w:rsid w:val="00613091"/>
    <w:rsid w:val="0061592A"/>
    <w:rsid w:val="00620727"/>
    <w:rsid w:val="0062246E"/>
    <w:rsid w:val="0062402D"/>
    <w:rsid w:val="006260E0"/>
    <w:rsid w:val="00626B72"/>
    <w:rsid w:val="006271E6"/>
    <w:rsid w:val="00630698"/>
    <w:rsid w:val="00640612"/>
    <w:rsid w:val="00641B10"/>
    <w:rsid w:val="0064227D"/>
    <w:rsid w:val="00650AC4"/>
    <w:rsid w:val="0065179F"/>
    <w:rsid w:val="00651A2D"/>
    <w:rsid w:val="0065281E"/>
    <w:rsid w:val="0065495A"/>
    <w:rsid w:val="0065622C"/>
    <w:rsid w:val="00657593"/>
    <w:rsid w:val="00660CAD"/>
    <w:rsid w:val="006627CF"/>
    <w:rsid w:val="006631B7"/>
    <w:rsid w:val="00664CA1"/>
    <w:rsid w:val="006667F8"/>
    <w:rsid w:val="00666C89"/>
    <w:rsid w:val="00670266"/>
    <w:rsid w:val="00670650"/>
    <w:rsid w:val="00670C95"/>
    <w:rsid w:val="0067333A"/>
    <w:rsid w:val="00675196"/>
    <w:rsid w:val="006775A6"/>
    <w:rsid w:val="00680960"/>
    <w:rsid w:val="00684D21"/>
    <w:rsid w:val="00687175"/>
    <w:rsid w:val="00691AAC"/>
    <w:rsid w:val="00691C32"/>
    <w:rsid w:val="006925CE"/>
    <w:rsid w:val="00692C8C"/>
    <w:rsid w:val="00692E2F"/>
    <w:rsid w:val="00694925"/>
    <w:rsid w:val="006966B0"/>
    <w:rsid w:val="006A435C"/>
    <w:rsid w:val="006B0DD8"/>
    <w:rsid w:val="006B15C9"/>
    <w:rsid w:val="006B1F07"/>
    <w:rsid w:val="006B1FF7"/>
    <w:rsid w:val="006B2748"/>
    <w:rsid w:val="006B465F"/>
    <w:rsid w:val="006B4676"/>
    <w:rsid w:val="006B7654"/>
    <w:rsid w:val="006C0435"/>
    <w:rsid w:val="006C06A1"/>
    <w:rsid w:val="006C0F22"/>
    <w:rsid w:val="006C13B1"/>
    <w:rsid w:val="006C4176"/>
    <w:rsid w:val="006C66EF"/>
    <w:rsid w:val="006D2617"/>
    <w:rsid w:val="006D2A7D"/>
    <w:rsid w:val="006D5CAE"/>
    <w:rsid w:val="006D5D6E"/>
    <w:rsid w:val="006E0969"/>
    <w:rsid w:val="006E5BF2"/>
    <w:rsid w:val="006F0AEE"/>
    <w:rsid w:val="006F2F21"/>
    <w:rsid w:val="00700AA3"/>
    <w:rsid w:val="0070371B"/>
    <w:rsid w:val="00705431"/>
    <w:rsid w:val="0071328B"/>
    <w:rsid w:val="007142BA"/>
    <w:rsid w:val="00714823"/>
    <w:rsid w:val="00714ABB"/>
    <w:rsid w:val="00714CB7"/>
    <w:rsid w:val="00717197"/>
    <w:rsid w:val="0071789F"/>
    <w:rsid w:val="00720A29"/>
    <w:rsid w:val="007224B7"/>
    <w:rsid w:val="0072779D"/>
    <w:rsid w:val="00730088"/>
    <w:rsid w:val="007349C8"/>
    <w:rsid w:val="007419A8"/>
    <w:rsid w:val="00744509"/>
    <w:rsid w:val="00745A0F"/>
    <w:rsid w:val="007471DD"/>
    <w:rsid w:val="00747222"/>
    <w:rsid w:val="00750898"/>
    <w:rsid w:val="0075096C"/>
    <w:rsid w:val="00750B83"/>
    <w:rsid w:val="00753E82"/>
    <w:rsid w:val="00754EBA"/>
    <w:rsid w:val="00755637"/>
    <w:rsid w:val="0076206A"/>
    <w:rsid w:val="00763AFF"/>
    <w:rsid w:val="00766C80"/>
    <w:rsid w:val="0077157D"/>
    <w:rsid w:val="00773559"/>
    <w:rsid w:val="00775741"/>
    <w:rsid w:val="00780EBD"/>
    <w:rsid w:val="00780FE5"/>
    <w:rsid w:val="0078127A"/>
    <w:rsid w:val="00783AF2"/>
    <w:rsid w:val="00784CDA"/>
    <w:rsid w:val="0078677B"/>
    <w:rsid w:val="00787E46"/>
    <w:rsid w:val="00795CF1"/>
    <w:rsid w:val="00796D71"/>
    <w:rsid w:val="00797764"/>
    <w:rsid w:val="007A095D"/>
    <w:rsid w:val="007A0B4F"/>
    <w:rsid w:val="007A3225"/>
    <w:rsid w:val="007A6609"/>
    <w:rsid w:val="007A6F41"/>
    <w:rsid w:val="007B09B6"/>
    <w:rsid w:val="007B76DC"/>
    <w:rsid w:val="007B7B73"/>
    <w:rsid w:val="007C05A4"/>
    <w:rsid w:val="007C2CED"/>
    <w:rsid w:val="007C4FA3"/>
    <w:rsid w:val="007C7222"/>
    <w:rsid w:val="007D2C64"/>
    <w:rsid w:val="007E0A5F"/>
    <w:rsid w:val="007E263F"/>
    <w:rsid w:val="007E35E5"/>
    <w:rsid w:val="007E56C8"/>
    <w:rsid w:val="007F16F3"/>
    <w:rsid w:val="007F22B4"/>
    <w:rsid w:val="007F44B4"/>
    <w:rsid w:val="007F6F04"/>
    <w:rsid w:val="007F7E3E"/>
    <w:rsid w:val="00800B41"/>
    <w:rsid w:val="00801FCC"/>
    <w:rsid w:val="00802729"/>
    <w:rsid w:val="00802988"/>
    <w:rsid w:val="008049E3"/>
    <w:rsid w:val="008126DF"/>
    <w:rsid w:val="0081368A"/>
    <w:rsid w:val="00814F30"/>
    <w:rsid w:val="00815D7C"/>
    <w:rsid w:val="00816982"/>
    <w:rsid w:val="00822896"/>
    <w:rsid w:val="00822918"/>
    <w:rsid w:val="00822FB3"/>
    <w:rsid w:val="00825F08"/>
    <w:rsid w:val="008274ED"/>
    <w:rsid w:val="008313BE"/>
    <w:rsid w:val="008319D0"/>
    <w:rsid w:val="008415A0"/>
    <w:rsid w:val="00842D30"/>
    <w:rsid w:val="008456AC"/>
    <w:rsid w:val="00847C93"/>
    <w:rsid w:val="0085240F"/>
    <w:rsid w:val="00853608"/>
    <w:rsid w:val="0085364B"/>
    <w:rsid w:val="0085440B"/>
    <w:rsid w:val="0085460A"/>
    <w:rsid w:val="008612B6"/>
    <w:rsid w:val="00861E71"/>
    <w:rsid w:val="00862510"/>
    <w:rsid w:val="00863613"/>
    <w:rsid w:val="00866993"/>
    <w:rsid w:val="008712F1"/>
    <w:rsid w:val="0087224F"/>
    <w:rsid w:val="00873FF7"/>
    <w:rsid w:val="00874366"/>
    <w:rsid w:val="00875996"/>
    <w:rsid w:val="008762D8"/>
    <w:rsid w:val="00876F34"/>
    <w:rsid w:val="0087715C"/>
    <w:rsid w:val="00881B30"/>
    <w:rsid w:val="008823FC"/>
    <w:rsid w:val="00882C1F"/>
    <w:rsid w:val="00891804"/>
    <w:rsid w:val="0089220D"/>
    <w:rsid w:val="00892BBE"/>
    <w:rsid w:val="00894795"/>
    <w:rsid w:val="00897035"/>
    <w:rsid w:val="008A02EA"/>
    <w:rsid w:val="008B10F0"/>
    <w:rsid w:val="008B142C"/>
    <w:rsid w:val="008B1589"/>
    <w:rsid w:val="008B1BBE"/>
    <w:rsid w:val="008B7073"/>
    <w:rsid w:val="008B74DD"/>
    <w:rsid w:val="008B7ED3"/>
    <w:rsid w:val="008C03C8"/>
    <w:rsid w:val="008C2091"/>
    <w:rsid w:val="008C22D7"/>
    <w:rsid w:val="008C31F6"/>
    <w:rsid w:val="008C4ABE"/>
    <w:rsid w:val="008C72B5"/>
    <w:rsid w:val="008D046C"/>
    <w:rsid w:val="008D0D76"/>
    <w:rsid w:val="008D10FD"/>
    <w:rsid w:val="008D122F"/>
    <w:rsid w:val="008D4560"/>
    <w:rsid w:val="008D5F60"/>
    <w:rsid w:val="008D727F"/>
    <w:rsid w:val="008D77C3"/>
    <w:rsid w:val="008E5F6D"/>
    <w:rsid w:val="008F0210"/>
    <w:rsid w:val="008F1ACF"/>
    <w:rsid w:val="008F2600"/>
    <w:rsid w:val="008F2E5B"/>
    <w:rsid w:val="008F3F68"/>
    <w:rsid w:val="008F46D1"/>
    <w:rsid w:val="008F5D52"/>
    <w:rsid w:val="009004C2"/>
    <w:rsid w:val="0090224D"/>
    <w:rsid w:val="00902320"/>
    <w:rsid w:val="00903C77"/>
    <w:rsid w:val="00904995"/>
    <w:rsid w:val="00904F17"/>
    <w:rsid w:val="009115D4"/>
    <w:rsid w:val="009126BA"/>
    <w:rsid w:val="00913F5A"/>
    <w:rsid w:val="0091440B"/>
    <w:rsid w:val="00917E24"/>
    <w:rsid w:val="009202C1"/>
    <w:rsid w:val="0092283B"/>
    <w:rsid w:val="00922966"/>
    <w:rsid w:val="00924B4D"/>
    <w:rsid w:val="0092580E"/>
    <w:rsid w:val="00925D42"/>
    <w:rsid w:val="009264CF"/>
    <w:rsid w:val="0092710A"/>
    <w:rsid w:val="00931012"/>
    <w:rsid w:val="00934AE0"/>
    <w:rsid w:val="00937AE3"/>
    <w:rsid w:val="00937D24"/>
    <w:rsid w:val="0094074B"/>
    <w:rsid w:val="00940BE6"/>
    <w:rsid w:val="00943175"/>
    <w:rsid w:val="009439D6"/>
    <w:rsid w:val="00952C8E"/>
    <w:rsid w:val="00955C01"/>
    <w:rsid w:val="00956355"/>
    <w:rsid w:val="0095741D"/>
    <w:rsid w:val="00963485"/>
    <w:rsid w:val="009635CD"/>
    <w:rsid w:val="00963D58"/>
    <w:rsid w:val="00964362"/>
    <w:rsid w:val="00964CE9"/>
    <w:rsid w:val="00967822"/>
    <w:rsid w:val="0097049B"/>
    <w:rsid w:val="00970802"/>
    <w:rsid w:val="009718A4"/>
    <w:rsid w:val="0097288F"/>
    <w:rsid w:val="00980390"/>
    <w:rsid w:val="0098207E"/>
    <w:rsid w:val="00986D7E"/>
    <w:rsid w:val="00990AAE"/>
    <w:rsid w:val="00994774"/>
    <w:rsid w:val="00995474"/>
    <w:rsid w:val="0099680D"/>
    <w:rsid w:val="009A053E"/>
    <w:rsid w:val="009A1172"/>
    <w:rsid w:val="009A5DDA"/>
    <w:rsid w:val="009A7E8A"/>
    <w:rsid w:val="009B24E4"/>
    <w:rsid w:val="009B46AD"/>
    <w:rsid w:val="009B6120"/>
    <w:rsid w:val="009B6B25"/>
    <w:rsid w:val="009B777D"/>
    <w:rsid w:val="009B7E42"/>
    <w:rsid w:val="009C11E9"/>
    <w:rsid w:val="009C229E"/>
    <w:rsid w:val="009C2F76"/>
    <w:rsid w:val="009C35BF"/>
    <w:rsid w:val="009C74EF"/>
    <w:rsid w:val="009C7E63"/>
    <w:rsid w:val="009D04C1"/>
    <w:rsid w:val="009D1294"/>
    <w:rsid w:val="009D5476"/>
    <w:rsid w:val="009E2F60"/>
    <w:rsid w:val="009E71E6"/>
    <w:rsid w:val="009F5312"/>
    <w:rsid w:val="009F7B50"/>
    <w:rsid w:val="00A02AEC"/>
    <w:rsid w:val="00A04147"/>
    <w:rsid w:val="00A0588B"/>
    <w:rsid w:val="00A0594A"/>
    <w:rsid w:val="00A070F7"/>
    <w:rsid w:val="00A11915"/>
    <w:rsid w:val="00A12C47"/>
    <w:rsid w:val="00A14705"/>
    <w:rsid w:val="00A212B8"/>
    <w:rsid w:val="00A216B3"/>
    <w:rsid w:val="00A21E9E"/>
    <w:rsid w:val="00A23420"/>
    <w:rsid w:val="00A23E04"/>
    <w:rsid w:val="00A23E1D"/>
    <w:rsid w:val="00A24024"/>
    <w:rsid w:val="00A24C21"/>
    <w:rsid w:val="00A252B0"/>
    <w:rsid w:val="00A254C8"/>
    <w:rsid w:val="00A25BE3"/>
    <w:rsid w:val="00A27DED"/>
    <w:rsid w:val="00A3149E"/>
    <w:rsid w:val="00A35008"/>
    <w:rsid w:val="00A35A4F"/>
    <w:rsid w:val="00A362DD"/>
    <w:rsid w:val="00A37B55"/>
    <w:rsid w:val="00A4203E"/>
    <w:rsid w:val="00A46C15"/>
    <w:rsid w:val="00A501E4"/>
    <w:rsid w:val="00A50DC0"/>
    <w:rsid w:val="00A5295E"/>
    <w:rsid w:val="00A55D73"/>
    <w:rsid w:val="00A56266"/>
    <w:rsid w:val="00A5652E"/>
    <w:rsid w:val="00A63695"/>
    <w:rsid w:val="00A638F8"/>
    <w:rsid w:val="00A658CB"/>
    <w:rsid w:val="00A67915"/>
    <w:rsid w:val="00A67ED9"/>
    <w:rsid w:val="00A71713"/>
    <w:rsid w:val="00A72E9E"/>
    <w:rsid w:val="00A72F06"/>
    <w:rsid w:val="00A730F2"/>
    <w:rsid w:val="00A75AAA"/>
    <w:rsid w:val="00A76C33"/>
    <w:rsid w:val="00A77FFD"/>
    <w:rsid w:val="00A84897"/>
    <w:rsid w:val="00A87081"/>
    <w:rsid w:val="00A936A0"/>
    <w:rsid w:val="00A939F0"/>
    <w:rsid w:val="00AA7BFD"/>
    <w:rsid w:val="00AB4482"/>
    <w:rsid w:val="00AB4554"/>
    <w:rsid w:val="00AB6389"/>
    <w:rsid w:val="00AB7B0A"/>
    <w:rsid w:val="00AC0A5C"/>
    <w:rsid w:val="00AC2EF3"/>
    <w:rsid w:val="00AC47B6"/>
    <w:rsid w:val="00AC6702"/>
    <w:rsid w:val="00AD0C67"/>
    <w:rsid w:val="00AD2036"/>
    <w:rsid w:val="00AD2A59"/>
    <w:rsid w:val="00AD3AED"/>
    <w:rsid w:val="00AD3DF5"/>
    <w:rsid w:val="00AD5A9E"/>
    <w:rsid w:val="00AD63FD"/>
    <w:rsid w:val="00AD67FE"/>
    <w:rsid w:val="00AD688C"/>
    <w:rsid w:val="00AD7885"/>
    <w:rsid w:val="00AD7DF9"/>
    <w:rsid w:val="00AE0032"/>
    <w:rsid w:val="00AE29BB"/>
    <w:rsid w:val="00AE2CAF"/>
    <w:rsid w:val="00AE7E33"/>
    <w:rsid w:val="00AF24E8"/>
    <w:rsid w:val="00AF2AC1"/>
    <w:rsid w:val="00AF33D9"/>
    <w:rsid w:val="00AF35B7"/>
    <w:rsid w:val="00AF7E57"/>
    <w:rsid w:val="00B002E4"/>
    <w:rsid w:val="00B014E4"/>
    <w:rsid w:val="00B12BEF"/>
    <w:rsid w:val="00B12C27"/>
    <w:rsid w:val="00B13C69"/>
    <w:rsid w:val="00B1520E"/>
    <w:rsid w:val="00B15592"/>
    <w:rsid w:val="00B17DFE"/>
    <w:rsid w:val="00B206D9"/>
    <w:rsid w:val="00B232DF"/>
    <w:rsid w:val="00B24548"/>
    <w:rsid w:val="00B25547"/>
    <w:rsid w:val="00B26EA2"/>
    <w:rsid w:val="00B26F3D"/>
    <w:rsid w:val="00B303DE"/>
    <w:rsid w:val="00B306F9"/>
    <w:rsid w:val="00B332B2"/>
    <w:rsid w:val="00B34CCC"/>
    <w:rsid w:val="00B36EC7"/>
    <w:rsid w:val="00B36EDD"/>
    <w:rsid w:val="00B42594"/>
    <w:rsid w:val="00B47E1F"/>
    <w:rsid w:val="00B61C97"/>
    <w:rsid w:val="00B61E48"/>
    <w:rsid w:val="00B628C5"/>
    <w:rsid w:val="00B63D2B"/>
    <w:rsid w:val="00B64E3D"/>
    <w:rsid w:val="00B71933"/>
    <w:rsid w:val="00B725D1"/>
    <w:rsid w:val="00B73E44"/>
    <w:rsid w:val="00B74101"/>
    <w:rsid w:val="00B776E1"/>
    <w:rsid w:val="00B806F1"/>
    <w:rsid w:val="00B8078D"/>
    <w:rsid w:val="00B8413B"/>
    <w:rsid w:val="00B918EC"/>
    <w:rsid w:val="00B92A21"/>
    <w:rsid w:val="00B96884"/>
    <w:rsid w:val="00B974E8"/>
    <w:rsid w:val="00B97924"/>
    <w:rsid w:val="00BA0BEF"/>
    <w:rsid w:val="00BA12A6"/>
    <w:rsid w:val="00BA4F7B"/>
    <w:rsid w:val="00BA706F"/>
    <w:rsid w:val="00BB2297"/>
    <w:rsid w:val="00BB3882"/>
    <w:rsid w:val="00BB38D7"/>
    <w:rsid w:val="00BB5B52"/>
    <w:rsid w:val="00BC120D"/>
    <w:rsid w:val="00BC198E"/>
    <w:rsid w:val="00BC29C3"/>
    <w:rsid w:val="00BC6971"/>
    <w:rsid w:val="00BD08C9"/>
    <w:rsid w:val="00BD12A3"/>
    <w:rsid w:val="00BD6D34"/>
    <w:rsid w:val="00BD7F6E"/>
    <w:rsid w:val="00BE11A9"/>
    <w:rsid w:val="00BE13AA"/>
    <w:rsid w:val="00BE17EA"/>
    <w:rsid w:val="00BE2B89"/>
    <w:rsid w:val="00BE50C0"/>
    <w:rsid w:val="00BE5A6B"/>
    <w:rsid w:val="00BE6B95"/>
    <w:rsid w:val="00BE7795"/>
    <w:rsid w:val="00BF22B4"/>
    <w:rsid w:val="00BF47B0"/>
    <w:rsid w:val="00BF5327"/>
    <w:rsid w:val="00C01E9D"/>
    <w:rsid w:val="00C03327"/>
    <w:rsid w:val="00C0348B"/>
    <w:rsid w:val="00C03D0F"/>
    <w:rsid w:val="00C042D1"/>
    <w:rsid w:val="00C06413"/>
    <w:rsid w:val="00C06A8B"/>
    <w:rsid w:val="00C0756F"/>
    <w:rsid w:val="00C1142A"/>
    <w:rsid w:val="00C21D33"/>
    <w:rsid w:val="00C226EE"/>
    <w:rsid w:val="00C24981"/>
    <w:rsid w:val="00C27D0E"/>
    <w:rsid w:val="00C30AAA"/>
    <w:rsid w:val="00C30F74"/>
    <w:rsid w:val="00C3382F"/>
    <w:rsid w:val="00C36011"/>
    <w:rsid w:val="00C3681D"/>
    <w:rsid w:val="00C3793F"/>
    <w:rsid w:val="00C42AC6"/>
    <w:rsid w:val="00C4377C"/>
    <w:rsid w:val="00C46D4A"/>
    <w:rsid w:val="00C47F0F"/>
    <w:rsid w:val="00C51693"/>
    <w:rsid w:val="00C51728"/>
    <w:rsid w:val="00C51D84"/>
    <w:rsid w:val="00C52506"/>
    <w:rsid w:val="00C52C7D"/>
    <w:rsid w:val="00C52CE7"/>
    <w:rsid w:val="00C5385E"/>
    <w:rsid w:val="00C5638D"/>
    <w:rsid w:val="00C57187"/>
    <w:rsid w:val="00C5757D"/>
    <w:rsid w:val="00C576D2"/>
    <w:rsid w:val="00C63099"/>
    <w:rsid w:val="00C63A88"/>
    <w:rsid w:val="00C66514"/>
    <w:rsid w:val="00C67A6F"/>
    <w:rsid w:val="00C67D96"/>
    <w:rsid w:val="00C71ACA"/>
    <w:rsid w:val="00C72F6D"/>
    <w:rsid w:val="00C75561"/>
    <w:rsid w:val="00C76645"/>
    <w:rsid w:val="00C8169B"/>
    <w:rsid w:val="00C82259"/>
    <w:rsid w:val="00C826C8"/>
    <w:rsid w:val="00C84561"/>
    <w:rsid w:val="00C84963"/>
    <w:rsid w:val="00C85871"/>
    <w:rsid w:val="00C87544"/>
    <w:rsid w:val="00C90D33"/>
    <w:rsid w:val="00C9297C"/>
    <w:rsid w:val="00C936AC"/>
    <w:rsid w:val="00C94014"/>
    <w:rsid w:val="00C96077"/>
    <w:rsid w:val="00CA08B6"/>
    <w:rsid w:val="00CA1B4C"/>
    <w:rsid w:val="00CA2051"/>
    <w:rsid w:val="00CB0A99"/>
    <w:rsid w:val="00CB20E4"/>
    <w:rsid w:val="00CB2D66"/>
    <w:rsid w:val="00CB5A09"/>
    <w:rsid w:val="00CC3CF2"/>
    <w:rsid w:val="00CC43F8"/>
    <w:rsid w:val="00CD0CD4"/>
    <w:rsid w:val="00CD3294"/>
    <w:rsid w:val="00CD4095"/>
    <w:rsid w:val="00CE22CE"/>
    <w:rsid w:val="00CE23A9"/>
    <w:rsid w:val="00CE3B9F"/>
    <w:rsid w:val="00CE529D"/>
    <w:rsid w:val="00CE5769"/>
    <w:rsid w:val="00CE63AA"/>
    <w:rsid w:val="00CF0001"/>
    <w:rsid w:val="00CF1FB8"/>
    <w:rsid w:val="00CF2385"/>
    <w:rsid w:val="00CF2C65"/>
    <w:rsid w:val="00CF4774"/>
    <w:rsid w:val="00CF56A6"/>
    <w:rsid w:val="00D06C84"/>
    <w:rsid w:val="00D078B6"/>
    <w:rsid w:val="00D07E36"/>
    <w:rsid w:val="00D1022C"/>
    <w:rsid w:val="00D12B5C"/>
    <w:rsid w:val="00D148D8"/>
    <w:rsid w:val="00D22A15"/>
    <w:rsid w:val="00D22DF6"/>
    <w:rsid w:val="00D27115"/>
    <w:rsid w:val="00D272E5"/>
    <w:rsid w:val="00D30D66"/>
    <w:rsid w:val="00D3157C"/>
    <w:rsid w:val="00D32D23"/>
    <w:rsid w:val="00D333C7"/>
    <w:rsid w:val="00D34DCC"/>
    <w:rsid w:val="00D359E2"/>
    <w:rsid w:val="00D3662F"/>
    <w:rsid w:val="00D36B93"/>
    <w:rsid w:val="00D41DCA"/>
    <w:rsid w:val="00D42BF7"/>
    <w:rsid w:val="00D433E9"/>
    <w:rsid w:val="00D555CE"/>
    <w:rsid w:val="00D602CA"/>
    <w:rsid w:val="00D61D9B"/>
    <w:rsid w:val="00D63A08"/>
    <w:rsid w:val="00D65170"/>
    <w:rsid w:val="00D84FF7"/>
    <w:rsid w:val="00D86768"/>
    <w:rsid w:val="00D90A86"/>
    <w:rsid w:val="00D90D99"/>
    <w:rsid w:val="00D92D49"/>
    <w:rsid w:val="00D92F8E"/>
    <w:rsid w:val="00D944E8"/>
    <w:rsid w:val="00D94577"/>
    <w:rsid w:val="00D946B7"/>
    <w:rsid w:val="00D94F02"/>
    <w:rsid w:val="00D97D67"/>
    <w:rsid w:val="00DA13B1"/>
    <w:rsid w:val="00DA2F09"/>
    <w:rsid w:val="00DA70CE"/>
    <w:rsid w:val="00DB438F"/>
    <w:rsid w:val="00DB5F9D"/>
    <w:rsid w:val="00DB600F"/>
    <w:rsid w:val="00DC1E60"/>
    <w:rsid w:val="00DC4D7F"/>
    <w:rsid w:val="00DC4D97"/>
    <w:rsid w:val="00DC6F28"/>
    <w:rsid w:val="00DD179F"/>
    <w:rsid w:val="00DD60CC"/>
    <w:rsid w:val="00DD6136"/>
    <w:rsid w:val="00DE6B98"/>
    <w:rsid w:val="00DE7CAA"/>
    <w:rsid w:val="00DF13B7"/>
    <w:rsid w:val="00DF23FF"/>
    <w:rsid w:val="00DF4D12"/>
    <w:rsid w:val="00DF4E74"/>
    <w:rsid w:val="00DF5338"/>
    <w:rsid w:val="00DF6EF5"/>
    <w:rsid w:val="00E032C5"/>
    <w:rsid w:val="00E038CA"/>
    <w:rsid w:val="00E04037"/>
    <w:rsid w:val="00E05CED"/>
    <w:rsid w:val="00E10AE2"/>
    <w:rsid w:val="00E10F0A"/>
    <w:rsid w:val="00E12B47"/>
    <w:rsid w:val="00E12F12"/>
    <w:rsid w:val="00E14639"/>
    <w:rsid w:val="00E14A9C"/>
    <w:rsid w:val="00E178A7"/>
    <w:rsid w:val="00E21875"/>
    <w:rsid w:val="00E22467"/>
    <w:rsid w:val="00E23346"/>
    <w:rsid w:val="00E24328"/>
    <w:rsid w:val="00E25407"/>
    <w:rsid w:val="00E255C1"/>
    <w:rsid w:val="00E26D76"/>
    <w:rsid w:val="00E27A1A"/>
    <w:rsid w:val="00E27BC1"/>
    <w:rsid w:val="00E310F4"/>
    <w:rsid w:val="00E32599"/>
    <w:rsid w:val="00E33B0E"/>
    <w:rsid w:val="00E37631"/>
    <w:rsid w:val="00E40818"/>
    <w:rsid w:val="00E42621"/>
    <w:rsid w:val="00E446A6"/>
    <w:rsid w:val="00E45D0B"/>
    <w:rsid w:val="00E52248"/>
    <w:rsid w:val="00E53CB5"/>
    <w:rsid w:val="00E53CCD"/>
    <w:rsid w:val="00E54715"/>
    <w:rsid w:val="00E62607"/>
    <w:rsid w:val="00E71855"/>
    <w:rsid w:val="00E719A9"/>
    <w:rsid w:val="00E771C5"/>
    <w:rsid w:val="00E812FB"/>
    <w:rsid w:val="00E81B57"/>
    <w:rsid w:val="00E90C40"/>
    <w:rsid w:val="00E959B3"/>
    <w:rsid w:val="00EA1DE4"/>
    <w:rsid w:val="00EA26A0"/>
    <w:rsid w:val="00EA3C2C"/>
    <w:rsid w:val="00EA5A35"/>
    <w:rsid w:val="00EA60EA"/>
    <w:rsid w:val="00EB24D2"/>
    <w:rsid w:val="00EB29BF"/>
    <w:rsid w:val="00EB2D03"/>
    <w:rsid w:val="00EB31DE"/>
    <w:rsid w:val="00EB32C8"/>
    <w:rsid w:val="00EB4902"/>
    <w:rsid w:val="00EB6AC8"/>
    <w:rsid w:val="00EB6FEF"/>
    <w:rsid w:val="00EC2602"/>
    <w:rsid w:val="00EC37E5"/>
    <w:rsid w:val="00EC38A1"/>
    <w:rsid w:val="00EC4C60"/>
    <w:rsid w:val="00EC7C7F"/>
    <w:rsid w:val="00ED5C6C"/>
    <w:rsid w:val="00ED65EF"/>
    <w:rsid w:val="00ED7BE2"/>
    <w:rsid w:val="00ED7D5C"/>
    <w:rsid w:val="00EE35CC"/>
    <w:rsid w:val="00EE4D50"/>
    <w:rsid w:val="00EE6FC8"/>
    <w:rsid w:val="00EF4B42"/>
    <w:rsid w:val="00EF6E10"/>
    <w:rsid w:val="00F003D3"/>
    <w:rsid w:val="00F003E8"/>
    <w:rsid w:val="00F008AB"/>
    <w:rsid w:val="00F00E64"/>
    <w:rsid w:val="00F03E32"/>
    <w:rsid w:val="00F03F72"/>
    <w:rsid w:val="00F042D6"/>
    <w:rsid w:val="00F0581A"/>
    <w:rsid w:val="00F05926"/>
    <w:rsid w:val="00F1085A"/>
    <w:rsid w:val="00F1476E"/>
    <w:rsid w:val="00F204A4"/>
    <w:rsid w:val="00F37DCC"/>
    <w:rsid w:val="00F42289"/>
    <w:rsid w:val="00F42973"/>
    <w:rsid w:val="00F42E75"/>
    <w:rsid w:val="00F45D65"/>
    <w:rsid w:val="00F46B81"/>
    <w:rsid w:val="00F517FA"/>
    <w:rsid w:val="00F518F5"/>
    <w:rsid w:val="00F52D16"/>
    <w:rsid w:val="00F53F43"/>
    <w:rsid w:val="00F624D3"/>
    <w:rsid w:val="00F62D67"/>
    <w:rsid w:val="00F63BD9"/>
    <w:rsid w:val="00F6694C"/>
    <w:rsid w:val="00F67A0E"/>
    <w:rsid w:val="00F75A28"/>
    <w:rsid w:val="00F75E19"/>
    <w:rsid w:val="00F763D0"/>
    <w:rsid w:val="00F76674"/>
    <w:rsid w:val="00F80A92"/>
    <w:rsid w:val="00F8145F"/>
    <w:rsid w:val="00F8620E"/>
    <w:rsid w:val="00F87050"/>
    <w:rsid w:val="00F900BC"/>
    <w:rsid w:val="00F9283D"/>
    <w:rsid w:val="00F933AB"/>
    <w:rsid w:val="00F9374D"/>
    <w:rsid w:val="00F969E8"/>
    <w:rsid w:val="00F96F18"/>
    <w:rsid w:val="00F97242"/>
    <w:rsid w:val="00F97798"/>
    <w:rsid w:val="00FA12A9"/>
    <w:rsid w:val="00FA2B53"/>
    <w:rsid w:val="00FA3672"/>
    <w:rsid w:val="00FA4FE8"/>
    <w:rsid w:val="00FA508E"/>
    <w:rsid w:val="00FA5320"/>
    <w:rsid w:val="00FA5CE8"/>
    <w:rsid w:val="00FA70ED"/>
    <w:rsid w:val="00FA7846"/>
    <w:rsid w:val="00FB1BCE"/>
    <w:rsid w:val="00FB4B55"/>
    <w:rsid w:val="00FC211C"/>
    <w:rsid w:val="00FC26E5"/>
    <w:rsid w:val="00FC4BDC"/>
    <w:rsid w:val="00FD0BE3"/>
    <w:rsid w:val="00FD1003"/>
    <w:rsid w:val="00FD19F1"/>
    <w:rsid w:val="00FD1F8A"/>
    <w:rsid w:val="00FD3252"/>
    <w:rsid w:val="00FD370F"/>
    <w:rsid w:val="00FD403C"/>
    <w:rsid w:val="00FD5F23"/>
    <w:rsid w:val="00FD6484"/>
    <w:rsid w:val="00FD6771"/>
    <w:rsid w:val="00FD6784"/>
    <w:rsid w:val="00FE01E5"/>
    <w:rsid w:val="00FE0B90"/>
    <w:rsid w:val="00FE2141"/>
    <w:rsid w:val="00FE74C0"/>
    <w:rsid w:val="00FF115E"/>
    <w:rsid w:val="00FF1C0B"/>
    <w:rsid w:val="00FF4048"/>
    <w:rsid w:val="00FF4C41"/>
    <w:rsid w:val="00FF4D85"/>
    <w:rsid w:val="00FF4ED1"/>
    <w:rsid w:val="00FF570E"/>
    <w:rsid w:val="00FF78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2C5EB"/>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0">
    <w:name w:val="heading 1"/>
    <w:basedOn w:val="a"/>
    <w:next w:val="a"/>
    <w:link w:val="11"/>
    <w:uiPriority w:val="9"/>
    <w:qFormat/>
    <w:rsid w:val="00705431"/>
    <w:pPr>
      <w:keepNext/>
      <w:keepLines/>
      <w:spacing w:before="240"/>
      <w:jc w:val="left"/>
      <w:outlineLvl w:val="0"/>
    </w:pPr>
    <w:rPr>
      <w:rFonts w:ascii="Calibri" w:eastAsia="Calibri" w:hAnsi="Calibri" w:cs="Calibri"/>
      <w:color w:val="2F5496"/>
      <w:sz w:val="32"/>
      <w:szCs w:val="32"/>
    </w:rPr>
  </w:style>
  <w:style w:type="paragraph" w:styleId="2">
    <w:name w:val="heading 2"/>
    <w:basedOn w:val="a"/>
    <w:next w:val="a"/>
    <w:link w:val="20"/>
    <w:uiPriority w:val="9"/>
    <w:unhideWhenUsed/>
    <w:qFormat/>
    <w:rsid w:val="00705431"/>
    <w:pPr>
      <w:keepNext/>
      <w:keepLines/>
      <w:spacing w:before="40"/>
      <w:jc w:val="left"/>
      <w:outlineLvl w:val="1"/>
    </w:pPr>
    <w:rPr>
      <w:rFonts w:ascii="Calibri" w:eastAsia="Calibri" w:hAnsi="Calibri" w:cs="Calibri"/>
      <w:color w:val="2F5496"/>
      <w:sz w:val="26"/>
      <w:szCs w:val="26"/>
    </w:rPr>
  </w:style>
  <w:style w:type="paragraph" w:styleId="3">
    <w:name w:val="heading 3"/>
    <w:basedOn w:val="a"/>
    <w:next w:val="a"/>
    <w:link w:val="30"/>
    <w:uiPriority w:val="9"/>
    <w:unhideWhenUsed/>
    <w:qFormat/>
    <w:rsid w:val="00705431"/>
    <w:pPr>
      <w:keepNext/>
      <w:keepLines/>
      <w:spacing w:before="280" w:after="80"/>
      <w:jc w:val="left"/>
      <w:outlineLvl w:val="2"/>
    </w:pPr>
    <w:rPr>
      <w:b/>
    </w:rPr>
  </w:style>
  <w:style w:type="paragraph" w:styleId="4">
    <w:name w:val="heading 4"/>
    <w:basedOn w:val="a"/>
    <w:next w:val="a"/>
    <w:link w:val="40"/>
    <w:semiHidden/>
    <w:unhideWhenUsed/>
    <w:qFormat/>
    <w:rsid w:val="00705431"/>
    <w:pPr>
      <w:keepNext/>
      <w:keepLines/>
      <w:spacing w:before="240" w:after="40"/>
      <w:jc w:val="left"/>
      <w:outlineLvl w:val="3"/>
    </w:pPr>
    <w:rPr>
      <w:b/>
      <w:sz w:val="24"/>
      <w:szCs w:val="24"/>
    </w:rPr>
  </w:style>
  <w:style w:type="paragraph" w:styleId="5">
    <w:name w:val="heading 5"/>
    <w:basedOn w:val="a"/>
    <w:next w:val="a"/>
    <w:link w:val="50"/>
    <w:uiPriority w:val="9"/>
    <w:semiHidden/>
    <w:unhideWhenUsed/>
    <w:qFormat/>
    <w:rsid w:val="00705431"/>
    <w:pPr>
      <w:keepNext/>
      <w:keepLines/>
      <w:spacing w:before="220" w:after="40"/>
      <w:jc w:val="left"/>
      <w:outlineLvl w:val="4"/>
    </w:pPr>
    <w:rPr>
      <w:b/>
      <w:sz w:val="24"/>
      <w:szCs w:val="24"/>
    </w:rPr>
  </w:style>
  <w:style w:type="paragraph" w:styleId="6">
    <w:name w:val="heading 6"/>
    <w:basedOn w:val="a"/>
    <w:next w:val="a"/>
    <w:link w:val="60"/>
    <w:uiPriority w:val="9"/>
    <w:semiHidden/>
    <w:unhideWhenUsed/>
    <w:qFormat/>
    <w:rsid w:val="00705431"/>
    <w:pPr>
      <w:keepNext/>
      <w:keepLines/>
      <w:spacing w:before="200" w:after="40"/>
      <w:jc w:val="lef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unhideWhenUsed/>
    <w:rsid w:val="007A6609"/>
    <w:rPr>
      <w:rFonts w:ascii="Tahoma" w:hAnsi="Tahoma" w:cs="Tahoma"/>
      <w:sz w:val="16"/>
      <w:szCs w:val="16"/>
    </w:rPr>
  </w:style>
  <w:style w:type="character" w:customStyle="1" w:styleId="ae">
    <w:name w:val="Текст у виносці Знак"/>
    <w:basedOn w:val="a0"/>
    <w:link w:val="ad"/>
    <w:uiPriority w:val="99"/>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af4">
    <w:name w:val="Абзац списку Знак"/>
    <w:aliases w:val="Bullets Знак,Normal bullet 2 Знак"/>
    <w:link w:val="af3"/>
    <w:uiPriority w:val="34"/>
    <w:qFormat/>
    <w:locked/>
    <w:rsid w:val="00705431"/>
    <w:rPr>
      <w:rFonts w:ascii="Times New Roman" w:hAnsi="Times New Roman" w:cs="Times New Roman"/>
      <w:sz w:val="28"/>
      <w:szCs w:val="28"/>
      <w:lang w:eastAsia="uk-UA"/>
    </w:rPr>
  </w:style>
  <w:style w:type="character" w:customStyle="1" w:styleId="11">
    <w:name w:val="Заголовок 1 Знак"/>
    <w:basedOn w:val="a0"/>
    <w:link w:val="10"/>
    <w:uiPriority w:val="9"/>
    <w:rsid w:val="00705431"/>
    <w:rPr>
      <w:rFonts w:ascii="Calibri" w:eastAsia="Calibri" w:hAnsi="Calibri" w:cs="Calibri"/>
      <w:color w:val="2F5496"/>
      <w:sz w:val="32"/>
      <w:szCs w:val="32"/>
      <w:lang w:eastAsia="uk-UA"/>
    </w:rPr>
  </w:style>
  <w:style w:type="character" w:customStyle="1" w:styleId="20">
    <w:name w:val="Заголовок 2 Знак"/>
    <w:basedOn w:val="a0"/>
    <w:link w:val="2"/>
    <w:uiPriority w:val="9"/>
    <w:rsid w:val="00705431"/>
    <w:rPr>
      <w:rFonts w:ascii="Calibri" w:eastAsia="Calibri" w:hAnsi="Calibri" w:cs="Calibri"/>
      <w:color w:val="2F5496"/>
      <w:sz w:val="26"/>
      <w:szCs w:val="26"/>
      <w:lang w:eastAsia="uk-UA"/>
    </w:rPr>
  </w:style>
  <w:style w:type="character" w:customStyle="1" w:styleId="30">
    <w:name w:val="Заголовок 3 Знак"/>
    <w:basedOn w:val="a0"/>
    <w:link w:val="3"/>
    <w:uiPriority w:val="9"/>
    <w:rsid w:val="00705431"/>
    <w:rPr>
      <w:rFonts w:ascii="Times New Roman" w:hAnsi="Times New Roman" w:cs="Times New Roman"/>
      <w:b/>
      <w:sz w:val="28"/>
      <w:szCs w:val="28"/>
      <w:lang w:eastAsia="uk-UA"/>
    </w:rPr>
  </w:style>
  <w:style w:type="character" w:customStyle="1" w:styleId="40">
    <w:name w:val="Заголовок 4 Знак"/>
    <w:basedOn w:val="a0"/>
    <w:link w:val="4"/>
    <w:semiHidden/>
    <w:rsid w:val="00705431"/>
    <w:rPr>
      <w:rFonts w:ascii="Times New Roman" w:hAnsi="Times New Roman" w:cs="Times New Roman"/>
      <w:b/>
      <w:sz w:val="24"/>
      <w:szCs w:val="24"/>
      <w:lang w:eastAsia="uk-UA"/>
    </w:rPr>
  </w:style>
  <w:style w:type="character" w:customStyle="1" w:styleId="50">
    <w:name w:val="Заголовок 5 Знак"/>
    <w:basedOn w:val="a0"/>
    <w:link w:val="5"/>
    <w:uiPriority w:val="9"/>
    <w:semiHidden/>
    <w:rsid w:val="00705431"/>
    <w:rPr>
      <w:rFonts w:ascii="Times New Roman" w:hAnsi="Times New Roman" w:cs="Times New Roman"/>
      <w:b/>
      <w:sz w:val="24"/>
      <w:szCs w:val="24"/>
      <w:lang w:eastAsia="uk-UA"/>
    </w:rPr>
  </w:style>
  <w:style w:type="character" w:customStyle="1" w:styleId="60">
    <w:name w:val="Заголовок 6 Знак"/>
    <w:basedOn w:val="a0"/>
    <w:link w:val="6"/>
    <w:uiPriority w:val="9"/>
    <w:semiHidden/>
    <w:rsid w:val="00705431"/>
    <w:rPr>
      <w:rFonts w:ascii="Times New Roman" w:hAnsi="Times New Roman" w:cs="Times New Roman"/>
      <w:b/>
      <w:sz w:val="20"/>
      <w:szCs w:val="20"/>
      <w:lang w:eastAsia="uk-UA"/>
    </w:rPr>
  </w:style>
  <w:style w:type="table" w:customStyle="1" w:styleId="TableNormal">
    <w:name w:val="Table Normal"/>
    <w:rsid w:val="00705431"/>
    <w:pPr>
      <w:spacing w:after="0" w:line="240" w:lineRule="auto"/>
    </w:pPr>
    <w:rPr>
      <w:rFonts w:ascii="Times New Roman" w:hAnsi="Times New Roman" w:cs="Times New Roman"/>
      <w:sz w:val="24"/>
      <w:szCs w:val="24"/>
      <w:lang w:eastAsia="uk-UA"/>
    </w:rPr>
    <w:tblPr>
      <w:tblCellMar>
        <w:top w:w="0" w:type="dxa"/>
        <w:left w:w="0" w:type="dxa"/>
        <w:bottom w:w="0" w:type="dxa"/>
        <w:right w:w="0" w:type="dxa"/>
      </w:tblCellMar>
    </w:tblPr>
  </w:style>
  <w:style w:type="paragraph" w:styleId="af5">
    <w:name w:val="Subtitle"/>
    <w:basedOn w:val="a"/>
    <w:next w:val="a"/>
    <w:link w:val="af6"/>
    <w:uiPriority w:val="11"/>
    <w:qFormat/>
    <w:rsid w:val="00705431"/>
    <w:pPr>
      <w:keepNext/>
      <w:keepLines/>
      <w:spacing w:before="360" w:after="80"/>
      <w:jc w:val="left"/>
    </w:pPr>
    <w:rPr>
      <w:rFonts w:ascii="Georgia" w:eastAsia="Georgia" w:hAnsi="Georgia" w:cs="Georgia"/>
      <w:i/>
      <w:color w:val="666666"/>
      <w:sz w:val="48"/>
      <w:szCs w:val="48"/>
    </w:rPr>
  </w:style>
  <w:style w:type="character" w:customStyle="1" w:styleId="af6">
    <w:name w:val="Підзаголовок Знак"/>
    <w:basedOn w:val="a0"/>
    <w:link w:val="af5"/>
    <w:uiPriority w:val="11"/>
    <w:rsid w:val="00705431"/>
    <w:rPr>
      <w:rFonts w:ascii="Georgia" w:eastAsia="Georgia" w:hAnsi="Georgia" w:cs="Georgia"/>
      <w:i/>
      <w:color w:val="666666"/>
      <w:sz w:val="48"/>
      <w:szCs w:val="48"/>
      <w:lang w:eastAsia="uk-UA"/>
    </w:rPr>
  </w:style>
  <w:style w:type="paragraph" w:styleId="af7">
    <w:name w:val="annotation text"/>
    <w:basedOn w:val="a"/>
    <w:link w:val="af8"/>
    <w:uiPriority w:val="99"/>
    <w:unhideWhenUsed/>
    <w:qFormat/>
    <w:rsid w:val="00705431"/>
    <w:pPr>
      <w:jc w:val="left"/>
    </w:pPr>
    <w:rPr>
      <w:sz w:val="20"/>
      <w:szCs w:val="20"/>
    </w:rPr>
  </w:style>
  <w:style w:type="character" w:customStyle="1" w:styleId="af8">
    <w:name w:val="Текст примітки Знак"/>
    <w:basedOn w:val="a0"/>
    <w:link w:val="af7"/>
    <w:uiPriority w:val="99"/>
    <w:qFormat/>
    <w:rsid w:val="00705431"/>
    <w:rPr>
      <w:rFonts w:ascii="Times New Roman" w:hAnsi="Times New Roman" w:cs="Times New Roman"/>
      <w:sz w:val="20"/>
      <w:szCs w:val="20"/>
      <w:lang w:eastAsia="uk-UA"/>
    </w:rPr>
  </w:style>
  <w:style w:type="character" w:styleId="af9">
    <w:name w:val="annotation reference"/>
    <w:basedOn w:val="a0"/>
    <w:uiPriority w:val="99"/>
    <w:unhideWhenUsed/>
    <w:qFormat/>
    <w:rsid w:val="00705431"/>
    <w:rPr>
      <w:sz w:val="16"/>
      <w:szCs w:val="16"/>
    </w:rPr>
  </w:style>
  <w:style w:type="paragraph" w:styleId="afa">
    <w:name w:val="Revision"/>
    <w:hidden/>
    <w:uiPriority w:val="99"/>
    <w:semiHidden/>
    <w:rsid w:val="00705431"/>
    <w:pPr>
      <w:spacing w:after="0" w:line="240" w:lineRule="auto"/>
    </w:pPr>
    <w:rPr>
      <w:rFonts w:ascii="Times New Roman" w:hAnsi="Times New Roman" w:cs="Times New Roman"/>
      <w:sz w:val="24"/>
      <w:szCs w:val="24"/>
      <w:lang w:eastAsia="uk-UA"/>
    </w:rPr>
  </w:style>
  <w:style w:type="paragraph" w:styleId="afb">
    <w:name w:val="annotation subject"/>
    <w:basedOn w:val="af7"/>
    <w:next w:val="af7"/>
    <w:link w:val="afc"/>
    <w:uiPriority w:val="99"/>
    <w:unhideWhenUsed/>
    <w:rsid w:val="00705431"/>
    <w:rPr>
      <w:b/>
      <w:bCs/>
    </w:rPr>
  </w:style>
  <w:style w:type="character" w:customStyle="1" w:styleId="afc">
    <w:name w:val="Тема примітки Знак"/>
    <w:basedOn w:val="af8"/>
    <w:link w:val="afb"/>
    <w:uiPriority w:val="99"/>
    <w:rsid w:val="00705431"/>
    <w:rPr>
      <w:rFonts w:ascii="Times New Roman" w:hAnsi="Times New Roman" w:cs="Times New Roman"/>
      <w:b/>
      <w:bCs/>
      <w:sz w:val="20"/>
      <w:szCs w:val="20"/>
      <w:lang w:eastAsia="uk-UA"/>
    </w:rPr>
  </w:style>
  <w:style w:type="paragraph" w:customStyle="1" w:styleId="rvps2">
    <w:name w:val="rvps2"/>
    <w:basedOn w:val="a"/>
    <w:rsid w:val="00705431"/>
    <w:pPr>
      <w:spacing w:before="100" w:beforeAutospacing="1" w:after="100" w:afterAutospacing="1"/>
      <w:jc w:val="left"/>
    </w:pPr>
    <w:rPr>
      <w:sz w:val="24"/>
      <w:szCs w:val="24"/>
    </w:rPr>
  </w:style>
  <w:style w:type="character" w:styleId="afd">
    <w:name w:val="Hyperlink"/>
    <w:basedOn w:val="a0"/>
    <w:uiPriority w:val="99"/>
    <w:unhideWhenUsed/>
    <w:rsid w:val="00705431"/>
    <w:rPr>
      <w:color w:val="0000FF"/>
      <w:u w:val="single"/>
    </w:rPr>
  </w:style>
  <w:style w:type="paragraph" w:styleId="12">
    <w:name w:val="toc 1"/>
    <w:basedOn w:val="a"/>
    <w:next w:val="a"/>
    <w:autoRedefine/>
    <w:uiPriority w:val="39"/>
    <w:unhideWhenUsed/>
    <w:rsid w:val="00705431"/>
    <w:pPr>
      <w:spacing w:after="100"/>
      <w:jc w:val="left"/>
    </w:pPr>
    <w:rPr>
      <w:sz w:val="24"/>
      <w:szCs w:val="24"/>
    </w:rPr>
  </w:style>
  <w:style w:type="character" w:customStyle="1" w:styleId="rvts9">
    <w:name w:val="rvts9"/>
    <w:basedOn w:val="a0"/>
    <w:rsid w:val="00705431"/>
  </w:style>
  <w:style w:type="character" w:customStyle="1" w:styleId="rvts37">
    <w:name w:val="rvts37"/>
    <w:basedOn w:val="a0"/>
    <w:rsid w:val="00705431"/>
  </w:style>
  <w:style w:type="character" w:customStyle="1" w:styleId="rvts46">
    <w:name w:val="rvts46"/>
    <w:basedOn w:val="a0"/>
    <w:rsid w:val="00705431"/>
  </w:style>
  <w:style w:type="character" w:customStyle="1" w:styleId="rvts11">
    <w:name w:val="rvts11"/>
    <w:basedOn w:val="a0"/>
    <w:rsid w:val="00705431"/>
  </w:style>
  <w:style w:type="paragraph" w:styleId="21">
    <w:name w:val="Body Text 2"/>
    <w:basedOn w:val="a"/>
    <w:link w:val="22"/>
    <w:rsid w:val="00705431"/>
    <w:pPr>
      <w:ind w:right="5244"/>
    </w:pPr>
    <w:rPr>
      <w:color w:val="000000"/>
      <w:spacing w:val="-6"/>
      <w:sz w:val="26"/>
      <w:szCs w:val="20"/>
      <w:lang w:eastAsia="ru-RU"/>
    </w:rPr>
  </w:style>
  <w:style w:type="character" w:customStyle="1" w:styleId="22">
    <w:name w:val="Основний текст 2 Знак"/>
    <w:basedOn w:val="a0"/>
    <w:link w:val="21"/>
    <w:rsid w:val="00705431"/>
    <w:rPr>
      <w:rFonts w:ascii="Times New Roman" w:hAnsi="Times New Roman" w:cs="Times New Roman"/>
      <w:color w:val="000000"/>
      <w:spacing w:val="-6"/>
      <w:sz w:val="26"/>
      <w:szCs w:val="20"/>
      <w:lang w:eastAsia="ru-RU"/>
    </w:rPr>
  </w:style>
  <w:style w:type="paragraph" w:customStyle="1" w:styleId="BodyTextIndent21">
    <w:name w:val="Body Text Indent 21"/>
    <w:basedOn w:val="a"/>
    <w:rsid w:val="00705431"/>
    <w:pPr>
      <w:ind w:firstLine="720"/>
    </w:pPr>
    <w:rPr>
      <w:sz w:val="26"/>
      <w:szCs w:val="20"/>
      <w:lang w:val="ru-RU" w:eastAsia="ru-RU"/>
    </w:rPr>
  </w:style>
  <w:style w:type="character" w:styleId="afe">
    <w:name w:val="FollowedHyperlink"/>
    <w:rsid w:val="00705431"/>
    <w:rPr>
      <w:color w:val="800080"/>
      <w:u w:val="single"/>
    </w:rPr>
  </w:style>
  <w:style w:type="paragraph" w:styleId="aff">
    <w:name w:val="Body Text Indent"/>
    <w:basedOn w:val="a"/>
    <w:link w:val="aff0"/>
    <w:rsid w:val="00705431"/>
    <w:pPr>
      <w:ind w:firstLine="567"/>
    </w:pPr>
    <w:rPr>
      <w:szCs w:val="20"/>
      <w:lang w:val="ru-RU" w:eastAsia="ru-RU"/>
    </w:rPr>
  </w:style>
  <w:style w:type="character" w:customStyle="1" w:styleId="aff0">
    <w:name w:val="Основний текст з відступом Знак"/>
    <w:basedOn w:val="a0"/>
    <w:link w:val="aff"/>
    <w:rsid w:val="00705431"/>
    <w:rPr>
      <w:rFonts w:ascii="Times New Roman" w:hAnsi="Times New Roman" w:cs="Times New Roman"/>
      <w:sz w:val="28"/>
      <w:szCs w:val="20"/>
      <w:lang w:val="ru-RU" w:eastAsia="ru-RU"/>
    </w:rPr>
  </w:style>
  <w:style w:type="character" w:styleId="aff1">
    <w:name w:val="page number"/>
    <w:basedOn w:val="a0"/>
    <w:rsid w:val="00705431"/>
  </w:style>
  <w:style w:type="paragraph" w:styleId="aff2">
    <w:name w:val="Normal (Web)"/>
    <w:basedOn w:val="a"/>
    <w:unhideWhenUsed/>
    <w:rsid w:val="00705431"/>
    <w:pPr>
      <w:spacing w:before="100" w:beforeAutospacing="1" w:after="100" w:afterAutospacing="1"/>
      <w:jc w:val="left"/>
    </w:pPr>
    <w:rPr>
      <w:sz w:val="24"/>
      <w:szCs w:val="24"/>
    </w:rPr>
  </w:style>
  <w:style w:type="character" w:customStyle="1" w:styleId="rvts40">
    <w:name w:val="rvts40"/>
    <w:rsid w:val="00705431"/>
  </w:style>
  <w:style w:type="paragraph" w:styleId="aff3">
    <w:name w:val="footnote text"/>
    <w:basedOn w:val="a"/>
    <w:link w:val="aff4"/>
    <w:uiPriority w:val="99"/>
    <w:unhideWhenUsed/>
    <w:rsid w:val="00705431"/>
    <w:rPr>
      <w:rFonts w:ascii="Calibri" w:eastAsia="Calibri" w:hAnsi="Calibri"/>
      <w:sz w:val="20"/>
      <w:szCs w:val="20"/>
      <w:lang w:eastAsia="en-US"/>
    </w:rPr>
  </w:style>
  <w:style w:type="character" w:customStyle="1" w:styleId="aff4">
    <w:name w:val="Текст виноски Знак"/>
    <w:basedOn w:val="a0"/>
    <w:link w:val="aff3"/>
    <w:uiPriority w:val="99"/>
    <w:rsid w:val="00705431"/>
    <w:rPr>
      <w:rFonts w:ascii="Calibri" w:eastAsia="Calibri" w:hAnsi="Calibri" w:cs="Times New Roman"/>
      <w:sz w:val="20"/>
      <w:szCs w:val="20"/>
    </w:rPr>
  </w:style>
  <w:style w:type="character" w:styleId="aff5">
    <w:name w:val="footnote reference"/>
    <w:uiPriority w:val="99"/>
    <w:unhideWhenUsed/>
    <w:rsid w:val="00705431"/>
    <w:rPr>
      <w:vertAlign w:val="superscript"/>
    </w:rPr>
  </w:style>
  <w:style w:type="numbering" w:customStyle="1" w:styleId="13">
    <w:name w:val="Нет списка1"/>
    <w:next w:val="a2"/>
    <w:uiPriority w:val="99"/>
    <w:semiHidden/>
    <w:unhideWhenUsed/>
    <w:rsid w:val="00705431"/>
  </w:style>
  <w:style w:type="table" w:customStyle="1" w:styleId="14">
    <w:name w:val="Сетка таблицы1"/>
    <w:basedOn w:val="a1"/>
    <w:next w:val="a9"/>
    <w:uiPriority w:val="59"/>
    <w:rsid w:val="00705431"/>
    <w:pPr>
      <w:spacing w:after="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705431"/>
    <w:pPr>
      <w:autoSpaceDE w:val="0"/>
      <w:autoSpaceDN w:val="0"/>
      <w:adjustRightInd w:val="0"/>
      <w:spacing w:after="0" w:line="240" w:lineRule="auto"/>
      <w:jc w:val="both"/>
    </w:pPr>
    <w:rPr>
      <w:rFonts w:ascii="Courier New" w:hAnsi="Courier New" w:cs="Times New Roman"/>
      <w:sz w:val="24"/>
      <w:szCs w:val="24"/>
      <w:lang w:val="ru-RU" w:eastAsia="ru-RU"/>
    </w:rPr>
  </w:style>
  <w:style w:type="character" w:customStyle="1" w:styleId="FontStyle">
    <w:name w:val="Font Style"/>
    <w:rsid w:val="00705431"/>
    <w:rPr>
      <w:rFonts w:cs="Courier New"/>
      <w:color w:val="000000"/>
      <w:sz w:val="20"/>
      <w:szCs w:val="20"/>
    </w:rPr>
  </w:style>
  <w:style w:type="table" w:customStyle="1" w:styleId="23">
    <w:name w:val="Сетка таблицы2"/>
    <w:basedOn w:val="a1"/>
    <w:next w:val="a9"/>
    <w:uiPriority w:val="39"/>
    <w:rsid w:val="0070543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705431"/>
    <w:pPr>
      <w:widowControl w:val="0"/>
      <w:autoSpaceDE w:val="0"/>
      <w:autoSpaceDN w:val="0"/>
      <w:adjustRightInd w:val="0"/>
    </w:pPr>
    <w:rPr>
      <w:sz w:val="24"/>
      <w:szCs w:val="24"/>
    </w:rPr>
  </w:style>
  <w:style w:type="paragraph" w:customStyle="1" w:styleId="Style3">
    <w:name w:val="Style3"/>
    <w:basedOn w:val="a"/>
    <w:rsid w:val="00705431"/>
    <w:pPr>
      <w:widowControl w:val="0"/>
      <w:autoSpaceDE w:val="0"/>
      <w:autoSpaceDN w:val="0"/>
      <w:adjustRightInd w:val="0"/>
      <w:jc w:val="center"/>
    </w:pPr>
    <w:rPr>
      <w:sz w:val="24"/>
      <w:szCs w:val="24"/>
    </w:rPr>
  </w:style>
  <w:style w:type="paragraph" w:customStyle="1" w:styleId="Style9">
    <w:name w:val="Style9"/>
    <w:basedOn w:val="a"/>
    <w:rsid w:val="00705431"/>
    <w:pPr>
      <w:widowControl w:val="0"/>
      <w:autoSpaceDE w:val="0"/>
      <w:autoSpaceDN w:val="0"/>
      <w:adjustRightInd w:val="0"/>
      <w:spacing w:line="326" w:lineRule="exact"/>
      <w:ind w:firstLine="1061"/>
    </w:pPr>
    <w:rPr>
      <w:sz w:val="24"/>
      <w:szCs w:val="24"/>
    </w:rPr>
  </w:style>
  <w:style w:type="paragraph" w:customStyle="1" w:styleId="Style18">
    <w:name w:val="Style18"/>
    <w:basedOn w:val="a"/>
    <w:rsid w:val="00705431"/>
    <w:pPr>
      <w:widowControl w:val="0"/>
      <w:autoSpaceDE w:val="0"/>
      <w:autoSpaceDN w:val="0"/>
      <w:adjustRightInd w:val="0"/>
      <w:spacing w:line="322" w:lineRule="exact"/>
      <w:ind w:hanging="139"/>
    </w:pPr>
    <w:rPr>
      <w:sz w:val="24"/>
      <w:szCs w:val="24"/>
    </w:rPr>
  </w:style>
  <w:style w:type="character" w:customStyle="1" w:styleId="FontStyle25">
    <w:name w:val="Font Style25"/>
    <w:rsid w:val="00705431"/>
    <w:rPr>
      <w:rFonts w:ascii="Times New Roman" w:hAnsi="Times New Roman" w:cs="Times New Roman"/>
      <w:color w:val="000000"/>
      <w:sz w:val="26"/>
      <w:szCs w:val="26"/>
    </w:rPr>
  </w:style>
  <w:style w:type="character" w:customStyle="1" w:styleId="FontStyle26">
    <w:name w:val="Font Style26"/>
    <w:rsid w:val="00705431"/>
    <w:rPr>
      <w:rFonts w:ascii="Times New Roman" w:hAnsi="Times New Roman" w:cs="Times New Roman"/>
      <w:color w:val="000000"/>
      <w:sz w:val="22"/>
      <w:szCs w:val="22"/>
    </w:rPr>
  </w:style>
  <w:style w:type="numbering" w:customStyle="1" w:styleId="24">
    <w:name w:val="Нет списка2"/>
    <w:next w:val="a2"/>
    <w:uiPriority w:val="99"/>
    <w:semiHidden/>
    <w:unhideWhenUsed/>
    <w:rsid w:val="00705431"/>
  </w:style>
  <w:style w:type="paragraph" w:customStyle="1" w:styleId="Style5">
    <w:name w:val="Style5"/>
    <w:basedOn w:val="a"/>
    <w:rsid w:val="00705431"/>
    <w:pPr>
      <w:widowControl w:val="0"/>
      <w:autoSpaceDE w:val="0"/>
      <w:autoSpaceDN w:val="0"/>
      <w:adjustRightInd w:val="0"/>
      <w:spacing w:line="322" w:lineRule="exact"/>
      <w:ind w:firstLine="562"/>
    </w:pPr>
    <w:rPr>
      <w:sz w:val="24"/>
      <w:szCs w:val="24"/>
    </w:rPr>
  </w:style>
  <w:style w:type="paragraph" w:customStyle="1" w:styleId="Style13">
    <w:name w:val="Style13"/>
    <w:basedOn w:val="a"/>
    <w:rsid w:val="00705431"/>
    <w:pPr>
      <w:widowControl w:val="0"/>
      <w:autoSpaceDE w:val="0"/>
      <w:autoSpaceDN w:val="0"/>
      <w:adjustRightInd w:val="0"/>
      <w:spacing w:line="278" w:lineRule="exact"/>
      <w:jc w:val="center"/>
    </w:pPr>
    <w:rPr>
      <w:sz w:val="24"/>
      <w:szCs w:val="24"/>
    </w:rPr>
  </w:style>
  <w:style w:type="paragraph" w:customStyle="1" w:styleId="Style15">
    <w:name w:val="Style15"/>
    <w:basedOn w:val="a"/>
    <w:rsid w:val="00705431"/>
    <w:pPr>
      <w:widowControl w:val="0"/>
      <w:autoSpaceDE w:val="0"/>
      <w:autoSpaceDN w:val="0"/>
      <w:adjustRightInd w:val="0"/>
      <w:spacing w:line="648" w:lineRule="exact"/>
      <w:ind w:firstLine="5213"/>
    </w:pPr>
    <w:rPr>
      <w:sz w:val="24"/>
      <w:szCs w:val="24"/>
    </w:rPr>
  </w:style>
  <w:style w:type="paragraph" w:customStyle="1" w:styleId="Style16">
    <w:name w:val="Style16"/>
    <w:basedOn w:val="a"/>
    <w:rsid w:val="00705431"/>
    <w:pPr>
      <w:widowControl w:val="0"/>
      <w:autoSpaceDE w:val="0"/>
      <w:autoSpaceDN w:val="0"/>
      <w:adjustRightInd w:val="0"/>
    </w:pPr>
    <w:rPr>
      <w:sz w:val="24"/>
      <w:szCs w:val="24"/>
    </w:rPr>
  </w:style>
  <w:style w:type="paragraph" w:customStyle="1" w:styleId="Style22">
    <w:name w:val="Style22"/>
    <w:basedOn w:val="a"/>
    <w:rsid w:val="00705431"/>
    <w:pPr>
      <w:widowControl w:val="0"/>
      <w:autoSpaceDE w:val="0"/>
      <w:autoSpaceDN w:val="0"/>
      <w:adjustRightInd w:val="0"/>
      <w:jc w:val="center"/>
    </w:pPr>
    <w:rPr>
      <w:sz w:val="24"/>
      <w:szCs w:val="24"/>
    </w:rPr>
  </w:style>
  <w:style w:type="character" w:customStyle="1" w:styleId="FontStyle30">
    <w:name w:val="Font Style30"/>
    <w:rsid w:val="00705431"/>
    <w:rPr>
      <w:rFonts w:ascii="Times New Roman" w:hAnsi="Times New Roman" w:cs="Times New Roman"/>
      <w:b/>
      <w:bCs/>
      <w:color w:val="000000"/>
      <w:sz w:val="22"/>
      <w:szCs w:val="22"/>
    </w:rPr>
  </w:style>
  <w:style w:type="character" w:customStyle="1" w:styleId="FontStyle31">
    <w:name w:val="Font Style31"/>
    <w:rsid w:val="00705431"/>
    <w:rPr>
      <w:rFonts w:ascii="Times New Roman" w:hAnsi="Times New Roman" w:cs="Times New Roman"/>
      <w:color w:val="000000"/>
      <w:sz w:val="22"/>
      <w:szCs w:val="22"/>
    </w:rPr>
  </w:style>
  <w:style w:type="character" w:customStyle="1" w:styleId="FontStyle32">
    <w:name w:val="Font Style32"/>
    <w:rsid w:val="00705431"/>
    <w:rPr>
      <w:rFonts w:ascii="Times New Roman" w:hAnsi="Times New Roman" w:cs="Times New Roman"/>
      <w:color w:val="000000"/>
      <w:sz w:val="26"/>
      <w:szCs w:val="26"/>
    </w:rPr>
  </w:style>
  <w:style w:type="table" w:customStyle="1" w:styleId="31">
    <w:name w:val="Сетка таблицы3"/>
    <w:basedOn w:val="a1"/>
    <w:next w:val="a9"/>
    <w:uiPriority w:val="39"/>
    <w:rsid w:val="0070543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70543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39"/>
    <w:rsid w:val="0070543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ий HTML Знак"/>
    <w:link w:val="HTML0"/>
    <w:uiPriority w:val="99"/>
    <w:rsid w:val="00705431"/>
    <w:rPr>
      <w:rFonts w:ascii="Courier New" w:hAnsi="Courier New" w:cs="Courier New"/>
      <w:lang w:val="ru-RU" w:eastAsia="ru-RU"/>
    </w:rPr>
  </w:style>
  <w:style w:type="paragraph" w:styleId="HTML0">
    <w:name w:val="HTML Preformatted"/>
    <w:basedOn w:val="a"/>
    <w:link w:val="HTML"/>
    <w:uiPriority w:val="99"/>
    <w:unhideWhenUsed/>
    <w:rsid w:val="0070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2"/>
      <w:szCs w:val="22"/>
      <w:lang w:val="ru-RU" w:eastAsia="ru-RU"/>
    </w:rPr>
  </w:style>
  <w:style w:type="character" w:customStyle="1" w:styleId="HTML1">
    <w:name w:val="Стандартний HTML Знак1"/>
    <w:basedOn w:val="a0"/>
    <w:rsid w:val="00705431"/>
    <w:rPr>
      <w:rFonts w:ascii="Consolas" w:hAnsi="Consolas" w:cs="Times New Roman"/>
      <w:sz w:val="20"/>
      <w:szCs w:val="20"/>
      <w:lang w:eastAsia="uk-UA"/>
    </w:rPr>
  </w:style>
  <w:style w:type="character" w:customStyle="1" w:styleId="HTML10">
    <w:name w:val="Стандартный HTML Знак1"/>
    <w:uiPriority w:val="99"/>
    <w:semiHidden/>
    <w:rsid w:val="00705431"/>
    <w:rPr>
      <w:rFonts w:ascii="Consolas" w:hAnsi="Consolas" w:cs="Consolas"/>
      <w:sz w:val="20"/>
      <w:szCs w:val="20"/>
    </w:rPr>
  </w:style>
  <w:style w:type="paragraph" w:customStyle="1" w:styleId="rvps12">
    <w:name w:val="rvps12"/>
    <w:basedOn w:val="a"/>
    <w:rsid w:val="00705431"/>
    <w:pPr>
      <w:spacing w:before="100" w:beforeAutospacing="1" w:after="100" w:afterAutospacing="1"/>
      <w:jc w:val="left"/>
    </w:pPr>
    <w:rPr>
      <w:sz w:val="24"/>
      <w:szCs w:val="24"/>
      <w:lang w:val="ru-RU" w:eastAsia="ru-RU"/>
    </w:rPr>
  </w:style>
  <w:style w:type="paragraph" w:customStyle="1" w:styleId="rvps14">
    <w:name w:val="rvps14"/>
    <w:basedOn w:val="a"/>
    <w:rsid w:val="00705431"/>
    <w:pPr>
      <w:spacing w:before="100" w:beforeAutospacing="1" w:after="100" w:afterAutospacing="1"/>
      <w:jc w:val="left"/>
    </w:pPr>
    <w:rPr>
      <w:sz w:val="24"/>
      <w:szCs w:val="24"/>
      <w:lang w:val="ru-RU" w:eastAsia="ru-RU"/>
    </w:rPr>
  </w:style>
  <w:style w:type="character" w:styleId="aff6">
    <w:name w:val="Emphasis"/>
    <w:uiPriority w:val="20"/>
    <w:qFormat/>
    <w:rsid w:val="00705431"/>
    <w:rPr>
      <w:i/>
      <w:iCs/>
    </w:rPr>
  </w:style>
  <w:style w:type="paragraph" w:customStyle="1" w:styleId="StyleProp">
    <w:name w:val="StyleProp"/>
    <w:basedOn w:val="a"/>
    <w:rsid w:val="00705431"/>
    <w:pPr>
      <w:spacing w:line="200" w:lineRule="exact"/>
      <w:ind w:firstLine="227"/>
    </w:pPr>
    <w:rPr>
      <w:rFonts w:eastAsia="Calibri"/>
      <w:sz w:val="18"/>
      <w:szCs w:val="20"/>
      <w:lang w:eastAsia="ru-RU"/>
    </w:rPr>
  </w:style>
  <w:style w:type="paragraph" w:customStyle="1" w:styleId="rvps7">
    <w:name w:val="rvps7"/>
    <w:basedOn w:val="a"/>
    <w:rsid w:val="00705431"/>
    <w:pPr>
      <w:spacing w:before="100" w:beforeAutospacing="1" w:after="100" w:afterAutospacing="1"/>
      <w:jc w:val="left"/>
    </w:pPr>
    <w:rPr>
      <w:sz w:val="24"/>
      <w:szCs w:val="24"/>
    </w:rPr>
  </w:style>
  <w:style w:type="character" w:customStyle="1" w:styleId="rvts15">
    <w:name w:val="rvts15"/>
    <w:rsid w:val="00705431"/>
  </w:style>
  <w:style w:type="table" w:customStyle="1" w:styleId="61">
    <w:name w:val="Сетка таблицы6"/>
    <w:basedOn w:val="a1"/>
    <w:next w:val="a9"/>
    <w:uiPriority w:val="39"/>
    <w:rsid w:val="007054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розділ"/>
    <w:basedOn w:val="a"/>
    <w:link w:val="aff8"/>
    <w:qFormat/>
    <w:rsid w:val="00705431"/>
    <w:pPr>
      <w:ind w:firstLine="567"/>
      <w:jc w:val="center"/>
    </w:pPr>
    <w:rPr>
      <w:rFonts w:eastAsia="Calibri"/>
      <w:lang w:eastAsia="en-US"/>
    </w:rPr>
  </w:style>
  <w:style w:type="character" w:customStyle="1" w:styleId="aff8">
    <w:name w:val="розділ Знак"/>
    <w:link w:val="aff7"/>
    <w:rsid w:val="00705431"/>
    <w:rPr>
      <w:rFonts w:ascii="Times New Roman" w:eastAsia="Calibri" w:hAnsi="Times New Roman" w:cs="Times New Roman"/>
      <w:sz w:val="28"/>
      <w:szCs w:val="28"/>
    </w:rPr>
  </w:style>
  <w:style w:type="paragraph" w:customStyle="1" w:styleId="aff9">
    <w:name w:val="глава"/>
    <w:basedOn w:val="aff7"/>
    <w:link w:val="affa"/>
    <w:qFormat/>
    <w:rsid w:val="00705431"/>
  </w:style>
  <w:style w:type="paragraph" w:styleId="affb">
    <w:name w:val="TOC Heading"/>
    <w:basedOn w:val="10"/>
    <w:next w:val="a"/>
    <w:uiPriority w:val="39"/>
    <w:semiHidden/>
    <w:unhideWhenUsed/>
    <w:qFormat/>
    <w:rsid w:val="00705431"/>
    <w:pPr>
      <w:spacing w:before="480" w:line="276" w:lineRule="auto"/>
      <w:outlineLvl w:val="9"/>
    </w:pPr>
    <w:rPr>
      <w:rFonts w:ascii="Calibri Light" w:eastAsia="Times New Roman" w:hAnsi="Calibri Light" w:cs="Times New Roman"/>
      <w:b/>
      <w:bCs/>
      <w:color w:val="2E74B5"/>
      <w:sz w:val="28"/>
      <w:szCs w:val="28"/>
      <w:lang w:val="ru-RU" w:eastAsia="ru-RU"/>
    </w:rPr>
  </w:style>
  <w:style w:type="character" w:customStyle="1" w:styleId="affa">
    <w:name w:val="глава Знак"/>
    <w:link w:val="aff9"/>
    <w:rsid w:val="00705431"/>
    <w:rPr>
      <w:rFonts w:ascii="Times New Roman" w:eastAsia="Calibri" w:hAnsi="Times New Roman" w:cs="Times New Roman"/>
      <w:sz w:val="28"/>
      <w:szCs w:val="28"/>
    </w:rPr>
  </w:style>
  <w:style w:type="paragraph" w:styleId="32">
    <w:name w:val="toc 3"/>
    <w:basedOn w:val="a"/>
    <w:next w:val="a"/>
    <w:autoRedefine/>
    <w:uiPriority w:val="39"/>
    <w:unhideWhenUsed/>
    <w:rsid w:val="00705431"/>
    <w:pPr>
      <w:spacing w:after="100"/>
      <w:ind w:left="440"/>
    </w:pPr>
    <w:rPr>
      <w:rFonts w:ascii="Calibri" w:eastAsia="Calibri" w:hAnsi="Calibri"/>
      <w:sz w:val="22"/>
      <w:szCs w:val="22"/>
      <w:lang w:eastAsia="en-US"/>
    </w:rPr>
  </w:style>
  <w:style w:type="paragraph" w:styleId="25">
    <w:name w:val="toc 2"/>
    <w:basedOn w:val="a"/>
    <w:next w:val="a"/>
    <w:autoRedefine/>
    <w:uiPriority w:val="39"/>
    <w:unhideWhenUsed/>
    <w:rsid w:val="00705431"/>
    <w:pPr>
      <w:spacing w:after="100"/>
      <w:ind w:left="220"/>
    </w:pPr>
    <w:rPr>
      <w:rFonts w:ascii="Calibri" w:eastAsia="Calibri" w:hAnsi="Calibri"/>
      <w:sz w:val="22"/>
      <w:szCs w:val="22"/>
      <w:lang w:eastAsia="en-US"/>
    </w:rPr>
  </w:style>
  <w:style w:type="paragraph" w:styleId="affc">
    <w:name w:val="Body Text"/>
    <w:basedOn w:val="a"/>
    <w:link w:val="affd"/>
    <w:rsid w:val="00705431"/>
    <w:pPr>
      <w:spacing w:after="120"/>
      <w:jc w:val="left"/>
    </w:pPr>
    <w:rPr>
      <w:sz w:val="24"/>
      <w:szCs w:val="24"/>
      <w:lang w:val="ru-RU" w:eastAsia="ru-RU"/>
    </w:rPr>
  </w:style>
  <w:style w:type="character" w:customStyle="1" w:styleId="affd">
    <w:name w:val="Основний текст Знак"/>
    <w:basedOn w:val="a0"/>
    <w:link w:val="affc"/>
    <w:rsid w:val="00705431"/>
    <w:rPr>
      <w:rFonts w:ascii="Times New Roman" w:hAnsi="Times New Roman" w:cs="Times New Roman"/>
      <w:sz w:val="24"/>
      <w:szCs w:val="24"/>
      <w:lang w:val="ru-RU" w:eastAsia="ru-RU"/>
    </w:rPr>
  </w:style>
  <w:style w:type="numbering" w:customStyle="1" w:styleId="1">
    <w:name w:val="Поточний список1"/>
    <w:uiPriority w:val="99"/>
    <w:rsid w:val="00C936A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888764957">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554153371">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5B42C271E0B049815FD8E33D57FEA4" ma:contentTypeVersion="0" ma:contentTypeDescription="Створення нового документа." ma:contentTypeScope="" ma:versionID="a61a0f6a6680e73efa94fedee38df5b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1B1B51-1358-4434-AC1D-BDC143659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4547AA-3EF1-4115-9A36-637ACE07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12273</Words>
  <Characters>6997</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врегулювання діяльності учасників ринку небанківських фінансових послуг</vt:lpstr>
      <vt:lpstr/>
    </vt:vector>
  </TitlesOfParts>
  <Company>National Bank of Ukraine</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врегулювання діяльності учасників ринку небанківських фінансових послуг</dc:title>
  <dc:creator>Савчук Сергій Станіславович</dc:creator>
  <cp:lastModifiedBy>Савчук Сергій Станіславович</cp:lastModifiedBy>
  <cp:revision>5</cp:revision>
  <cp:lastPrinted>2020-10-27T15:45:00Z</cp:lastPrinted>
  <dcterms:created xsi:type="dcterms:W3CDTF">2022-03-04T10:21:00Z</dcterms:created>
  <dcterms:modified xsi:type="dcterms:W3CDTF">2022-03-06T13:17:00Z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0x010100715B42C271E0B049815FD8E33D57FEA4</vt:lpwstr>
  </property>
</Properties>
</file>