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311748" w:rsidRPr="00311748">
        <w:rPr>
          <w:rFonts w:ascii="Times New Roman" w:eastAsia="Times New Roman" w:hAnsi="Times New Roman" w:cs="Times New Roman"/>
          <w:b/>
          <w:sz w:val="28"/>
          <w:szCs w:val="28"/>
          <w:lang w:eastAsia="uk-UA"/>
        </w:rPr>
        <w:t>IX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114825"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w:t>
      </w:r>
      <w:bookmarkStart w:id="0" w:name="_GoBack"/>
      <w:bookmarkEnd w:id="0"/>
      <w:r w:rsidRPr="00311748">
        <w:rPr>
          <w:rFonts w:ascii="Times New Roman" w:eastAsia="Times New Roman" w:hAnsi="Times New Roman" w:cs="Times New Roman"/>
          <w:sz w:val="28"/>
          <w:szCs w:val="28"/>
          <w:lang w:eastAsia="uk-UA"/>
        </w:rPr>
        <w:t>ціями з контрагентами/пов’язаними з банком особами”, 6IX “Дані за активними операціями з контрагентами/пов’язаними з банком особами” (далі – файли 6FX, 6GX, 6HX, 6IX)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6IX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3. У файлах 6FX, 6GX, 6HX, 6IX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оборотно-сальдовим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2246 АП, 2248 А, 2249 АП, 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2450 А, 2451 А, 2452 А, 2453 А, 2456 АП, 2457 АП, 2458 А, 2600 А, 2607 А, 2609 КА, 2620 А, 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A, 9224 A, 9228 A, 9300 А, 9321 A, 9324 A, 9328 A,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6IX, якщо на звітну дату загальна сума всіх вимог банку та наданих банком фінансових зобов'язань 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6IX, якщо загальна сума всіх вимог банку та наданих банком фінансових зобов'язань 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6IX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6IX, якщо на звітну дату загальна сума всіх вимог банку та наданих банком фінансових зобов'язань 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7. Під час визначення даних про активні операції банку, які відповідно до цього пояснення необхідно відображати у файлах 6FX, 6GX, 6HX, 6IX, до розрахунку загальної суми всіх вимог банку та наданих банком фінансових зобов'язань 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оборотно-сальдовим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2248 А, 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2450 А, 2451 А, 2452 А, 2453 А, 2458 А, 2600 А, 2607 А, 2620 А, 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A, 9224 A, 9228 A, 9300 А, 9321 A, 9324 A, 9328 A, 9350 A, 9351 А, 9352 А, 9353 А, 9354 А, 9356 А, 9357 А, 9358 А, 9359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8. Якщо пов'язана з банком особа, яка має непогашену заборгованість, перестає бути пов'язаною з банком особою, то у файлах 6FX, 6GX, 6HX, 6IX </w:t>
      </w:r>
      <w:r w:rsidRPr="00311748">
        <w:rPr>
          <w:rFonts w:ascii="Times New Roman" w:eastAsia="Times New Roman" w:hAnsi="Times New Roman" w:cs="Times New Roman"/>
          <w:sz w:val="28"/>
          <w:szCs w:val="28"/>
          <w:lang w:eastAsia="uk-UA"/>
        </w:rPr>
        <w:lastRenderedPageBreak/>
        <w:t>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6IX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6IX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6IX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договори як з фізичною особою, так і з з 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IX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9089C" w:rsidRPr="00B55731" w:rsidRDefault="0069089C" w:rsidP="004036FD">
      <w:pPr>
        <w:pStyle w:val="aa"/>
        <w:shd w:val="clear" w:color="auto" w:fill="FFFFFF"/>
        <w:spacing w:before="0" w:beforeAutospacing="0" w:after="0" w:afterAutospacing="0"/>
        <w:ind w:firstLine="709"/>
        <w:jc w:val="both"/>
        <w:rPr>
          <w:sz w:val="28"/>
          <w:szCs w:val="28"/>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цифровий код країни контрагента/пов'язаної з банком особи (довідник К040).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К110).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К074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інституційного сектору економіки контрагента/повʼязаної з банком особи - юридичної особи  (довідник К074).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контрагента/повʼязаної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К140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розміру суб'єкта господарювання (довідник К140). Для контрагента/повʼязаної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lastRenderedPageBreak/>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(довідник К110). </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К110).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К020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Код/номер зазначається якщо цей код/номер не може бути повністю відображеним в НРП К020,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lastRenderedPageBreak/>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типу пов’язаної з банком особи відповідно до довідника К060.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В040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внутрішньобанківський реєстраційний код відокремленого підрозділу і банкоматів відповідно до Положення № 221, у якому зберігається документація, на підставі якої здійснюється класифікація активної банківської операції відповідно до Положення № 351 (довідник DPTLIST поле DEPCODE).</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НРП К020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w:t>
      </w:r>
      <w:r w:rsidRPr="00580FC9">
        <w:rPr>
          <w:rFonts w:ascii="Times New Roman" w:eastAsia="Times New Roman" w:hAnsi="Times New Roman" w:cs="Times New Roman"/>
          <w:sz w:val="28"/>
          <w:szCs w:val="28"/>
          <w:lang w:eastAsia="uk-UA"/>
        </w:rPr>
        <w:lastRenderedPageBreak/>
        <w:t>номер цінного папера (ISIN - 12 знаків) (за наявності) з використанням розділового знака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контрагента/пов'язної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контрагента/пов'язної з банком особи (параметр S080) скоригований на підставі фактора/факторів,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 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Pr="00526641"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6IX у розрізі цих значень з різними НРП Q003_4.</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w:t>
      </w:r>
      <w:r w:rsidRPr="00580FC9">
        <w:rPr>
          <w:rFonts w:ascii="Times New Roman" w:eastAsia="Times New Roman" w:hAnsi="Times New Roman" w:cs="Times New Roman"/>
          <w:sz w:val="28"/>
          <w:szCs w:val="28"/>
          <w:lang w:eastAsia="uk-UA"/>
        </w:rPr>
        <w:lastRenderedPageBreak/>
        <w:t xml:space="preserve">параметрами F074, F077, F078, F102 та за НРП Q017, Q027, НРП Q034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К020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дата виникнення заборгованості контрагента/пов’язаної з банком особи або наданих банком фінансових зобов’язань щодо контрагента/повʼязаної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зобовʼязань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контрагента/повʼязаної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контрагента/повʼязаної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EE1269" w:rsidRPr="00EE1269" w:rsidRDefault="00EE1269" w:rsidP="00EE1269">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D25420"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580FC9" w:rsidRDefault="00580FC9" w:rsidP="00D25420">
      <w:pPr>
        <w:spacing w:after="0" w:line="240" w:lineRule="auto"/>
        <w:ind w:firstLine="709"/>
        <w:contextualSpacing/>
        <w:jc w:val="both"/>
        <w:rPr>
          <w:rFonts w:ascii="Times New Roman" w:eastAsia="Times New Roman" w:hAnsi="Times New Roman" w:cs="Times New Roman"/>
          <w:b/>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СR)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СR,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Т090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w:t>
      </w:r>
      <w:r w:rsidRPr="00A22B7E">
        <w:rPr>
          <w:rFonts w:ascii="Times New Roman" w:eastAsia="Times New Roman" w:hAnsi="Times New Roman" w:cs="Times New Roman"/>
          <w:sz w:val="28"/>
          <w:szCs w:val="28"/>
          <w:lang w:eastAsia="uk-UA"/>
        </w:rPr>
        <w:lastRenderedPageBreak/>
        <w:t xml:space="preserve">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r w:rsidR="00005D18">
        <w:rPr>
          <w:rFonts w:ascii="Times New Roman" w:eastAsia="Times New Roman" w:hAnsi="Times New Roman" w:cs="Times New Roman"/>
          <w:sz w:val="28"/>
          <w:szCs w:val="28"/>
          <w:lang w:eastAsia="uk-UA"/>
        </w:rPr>
        <w:t>яти</w:t>
      </w:r>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Т100_3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експозицією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Для активних операцій, що не належать до наданих банком безвідкличних фінансових зобов'язань відповідно до пункту 104 Положення № 351 за показником з метрикою T100_3 зазначається “0”.</w:t>
      </w:r>
    </w:p>
    <w:p w:rsidR="00D25420" w:rsidRPr="00D25420" w:rsidRDefault="00D25420" w:rsidP="00D25420">
      <w:pPr>
        <w:pStyle w:val="a3"/>
        <w:spacing w:after="0" w:line="240" w:lineRule="auto"/>
        <w:ind w:left="0" w:firstLine="709"/>
        <w:jc w:val="both"/>
        <w:rPr>
          <w:rFonts w:ascii="Times New Roman" w:eastAsia="Times New Roman" w:hAnsi="Times New Roman" w:cs="Times New Roman"/>
          <w:b/>
          <w:sz w:val="28"/>
          <w:szCs w:val="28"/>
          <w:u w:val="single"/>
          <w:lang w:eastAsia="uk-UA"/>
        </w:rPr>
      </w:pPr>
    </w:p>
    <w:p w:rsidR="00BD46CE" w:rsidRDefault="00BD46CE" w:rsidP="005E2A44">
      <w:pPr>
        <w:spacing w:after="0" w:line="240" w:lineRule="auto"/>
        <w:jc w:val="center"/>
        <w:rPr>
          <w:rFonts w:ascii="Times New Roman" w:eastAsia="Times New Roman" w:hAnsi="Times New Roman" w:cs="Times New Roman"/>
          <w:b/>
          <w:sz w:val="28"/>
          <w:szCs w:val="28"/>
          <w:u w:val="single"/>
          <w:lang w:val="en-US" w:eastAsia="uk-UA"/>
        </w:rPr>
      </w:pPr>
    </w:p>
    <w:p w:rsidR="00BD46CE" w:rsidRDefault="00BD46CE" w:rsidP="005E2A44">
      <w:pPr>
        <w:spacing w:after="0" w:line="240" w:lineRule="auto"/>
        <w:jc w:val="center"/>
        <w:rPr>
          <w:rFonts w:ascii="Times New Roman" w:eastAsia="Times New Roman" w:hAnsi="Times New Roman" w:cs="Times New Roman"/>
          <w:b/>
          <w:sz w:val="28"/>
          <w:szCs w:val="28"/>
          <w:u w:val="single"/>
          <w:lang w:val="en-US" w:eastAsia="uk-UA"/>
        </w:rPr>
      </w:pPr>
    </w:p>
    <w:p w:rsidR="00BD46CE" w:rsidRDefault="00BD46CE" w:rsidP="005E2A44">
      <w:pPr>
        <w:spacing w:after="0" w:line="240" w:lineRule="auto"/>
        <w:jc w:val="center"/>
        <w:rPr>
          <w:rFonts w:ascii="Times New Roman" w:eastAsia="Times New Roman" w:hAnsi="Times New Roman" w:cs="Times New Roman"/>
          <w:b/>
          <w:sz w:val="28"/>
          <w:szCs w:val="28"/>
          <w:u w:val="single"/>
          <w:lang w:val="en-US" w:eastAsia="uk-UA"/>
        </w:rPr>
      </w:pPr>
    </w:p>
    <w:p w:rsidR="00BD46CE" w:rsidRDefault="00BD46CE" w:rsidP="005E2A44">
      <w:pPr>
        <w:spacing w:after="0" w:line="240" w:lineRule="auto"/>
        <w:jc w:val="center"/>
        <w:rPr>
          <w:rFonts w:ascii="Times New Roman" w:eastAsia="Times New Roman" w:hAnsi="Times New Roman" w:cs="Times New Roman"/>
          <w:b/>
          <w:sz w:val="28"/>
          <w:szCs w:val="28"/>
          <w:u w:val="single"/>
          <w:lang w:val="en-US" w:eastAsia="uk-UA"/>
        </w:rPr>
      </w:pPr>
    </w:p>
    <w:p w:rsidR="00BD46CE" w:rsidRDefault="00BD46CE" w:rsidP="005E2A44">
      <w:pPr>
        <w:spacing w:after="0" w:line="240" w:lineRule="auto"/>
        <w:jc w:val="center"/>
        <w:rPr>
          <w:rFonts w:ascii="Times New Roman" w:eastAsia="Times New Roman" w:hAnsi="Times New Roman" w:cs="Times New Roman"/>
          <w:b/>
          <w:sz w:val="28"/>
          <w:szCs w:val="28"/>
          <w:u w:val="single"/>
          <w:lang w:val="en-US" w:eastAsia="uk-UA"/>
        </w:rPr>
      </w:pPr>
    </w:p>
    <w:p w:rsidR="00BD46CE" w:rsidRDefault="00BD46CE" w:rsidP="005E2A44">
      <w:pPr>
        <w:spacing w:after="0" w:line="240" w:lineRule="auto"/>
        <w:jc w:val="center"/>
        <w:rPr>
          <w:rFonts w:ascii="Times New Roman" w:eastAsia="Times New Roman" w:hAnsi="Times New Roman" w:cs="Times New Roman"/>
          <w:b/>
          <w:sz w:val="28"/>
          <w:szCs w:val="28"/>
          <w:u w:val="single"/>
          <w:lang w:val="en-US" w:eastAsia="uk-UA"/>
        </w:rPr>
      </w:pPr>
    </w:p>
    <w:p w:rsidR="00BD46CE" w:rsidRDefault="00BD46CE" w:rsidP="005E2A44">
      <w:pPr>
        <w:spacing w:after="0" w:line="240" w:lineRule="auto"/>
        <w:jc w:val="center"/>
        <w:rPr>
          <w:rFonts w:ascii="Times New Roman" w:eastAsia="Times New Roman" w:hAnsi="Times New Roman" w:cs="Times New Roman"/>
          <w:b/>
          <w:sz w:val="28"/>
          <w:szCs w:val="28"/>
          <w:u w:val="single"/>
          <w:lang w:val="en-US" w:eastAsia="uk-UA"/>
        </w:rPr>
      </w:pPr>
    </w:p>
    <w:p w:rsidR="00BD46CE" w:rsidRDefault="00BD46CE" w:rsidP="005E2A44">
      <w:pPr>
        <w:spacing w:after="0" w:line="240" w:lineRule="auto"/>
        <w:jc w:val="center"/>
        <w:rPr>
          <w:rFonts w:ascii="Times New Roman" w:eastAsia="Times New Roman" w:hAnsi="Times New Roman" w:cs="Times New Roman"/>
          <w:b/>
          <w:sz w:val="28"/>
          <w:szCs w:val="28"/>
          <w:u w:val="single"/>
          <w:lang w:val="en-US"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IX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w:t>
      </w:r>
      <w:r w:rsidRPr="005E2A44">
        <w:rPr>
          <w:rFonts w:ascii="Times New Roman" w:eastAsia="Times New Roman" w:hAnsi="Times New Roman" w:cs="Times New Roman"/>
          <w:sz w:val="28"/>
          <w:szCs w:val="28"/>
          <w:lang w:eastAsia="uk-UA"/>
        </w:rPr>
        <w:lastRenderedPageBreak/>
        <w:t xml:space="preserve">2371А, 2372А, 2373А, 2380А, 2381А, 2382А, 2383А, 2390А, 2391А, 2392А, 2393А, 2394А, 2395А, 2401А, 2403А, 2410А, 2411А, 2420А, 2421А, 2431А, 2433А, 2450А, 2451А, 2452А, 2453А, 2600А, 2620А, 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E422BE" w:rsidRDefault="00E422BE" w:rsidP="0037796D">
      <w:pPr>
        <w:spacing w:after="0" w:line="240" w:lineRule="auto"/>
        <w:ind w:firstLine="709"/>
        <w:jc w:val="both"/>
        <w:rPr>
          <w:rFonts w:ascii="Times New Roman" w:eastAsia="Times New Roman" w:hAnsi="Times New Roman" w:cs="Times New Roman"/>
          <w:sz w:val="28"/>
          <w:szCs w:val="28"/>
          <w:lang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lastRenderedPageBreak/>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cкладової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cкладової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1546/R013(5) АП, 2016/R013(5) АП, 2026/R013(5) АП, 2036/R013(5) АП, 2046/R013(5) АП, 2066/R013(5) АП, 2076/R013(5) АП, 2086/R013(5) АП, 2106/R013(5) АП, 2116/R013(5) АП, 2126/R013(5) АП, 2136/R013(5) АП, 2146/R013(5) АП, 2206/R013(5) АП, 2216/R013(5) АП, 2226/R013(5) АП, 2236/R013(5) АП, 2246/R013(5) АП, 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2406/R013(5) АП, 2416/R013(5) АП, 2426/R013(5) АП, 2436/R013(5) АП, 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cкладової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9321A, 9324A, 9328A,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cкладової R013 параметра аналітичного обліку R110: 9000А, 9001А, 9002А, 9003А, 9100А, 9122А, 9129/R013(1)А, 9200А, 9201А, 9202А, 9203А, 9204А, 9206А, 9207А, 9208А, 9300А, 9321A, 9324A, 9328A,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 xml:space="preserve">НРП </w:t>
      </w:r>
      <w:r w:rsidR="00BE57EA" w:rsidRPr="00BE57EA">
        <w:rPr>
          <w:rFonts w:ascii="Times New Roman" w:eastAsia="Times New Roman" w:hAnsi="Times New Roman" w:cs="Times New Roman"/>
          <w:sz w:val="28"/>
          <w:szCs w:val="28"/>
          <w:lang w:eastAsia="uk-UA"/>
        </w:rPr>
        <w:lastRenderedPageBreak/>
        <w:t>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справедливої вартості забезпечення (CV), що є прийнятним згідно з вимогами Положення № 351. </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cума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Т070 на відповідний коефіцієнт ліквідності (k), визначений згідно з Положенням № 351.</w:t>
      </w:r>
    </w:p>
    <w:p w:rsid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lastRenderedPageBreak/>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яке зменшує обсяг кредитного ризику під час розрахунку нормативів кредитного ризику відповідно до Інструкції № 368.</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5BE7"/>
    <w:rsid w:val="000A67D1"/>
    <w:rsid w:val="000B6C36"/>
    <w:rsid w:val="000C4C35"/>
    <w:rsid w:val="000C58A6"/>
    <w:rsid w:val="000D1E94"/>
    <w:rsid w:val="000E1C20"/>
    <w:rsid w:val="000E4103"/>
    <w:rsid w:val="000F0EAA"/>
    <w:rsid w:val="000F6780"/>
    <w:rsid w:val="000F7563"/>
    <w:rsid w:val="00111B0A"/>
    <w:rsid w:val="00114825"/>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5960"/>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4DA4"/>
    <w:rsid w:val="008058F7"/>
    <w:rsid w:val="008107CB"/>
    <w:rsid w:val="00821A6E"/>
    <w:rsid w:val="00821F52"/>
    <w:rsid w:val="00826DB8"/>
    <w:rsid w:val="00834337"/>
    <w:rsid w:val="00841164"/>
    <w:rsid w:val="00851755"/>
    <w:rsid w:val="00851A99"/>
    <w:rsid w:val="00861A2C"/>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F257B"/>
    <w:rsid w:val="00900790"/>
    <w:rsid w:val="00901C19"/>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A1668"/>
    <w:rsid w:val="00DA2330"/>
    <w:rsid w:val="00DA5E9F"/>
    <w:rsid w:val="00DB0DB8"/>
    <w:rsid w:val="00DB112F"/>
    <w:rsid w:val="00DB2D1A"/>
    <w:rsid w:val="00DC6BE8"/>
    <w:rsid w:val="00DC7120"/>
    <w:rsid w:val="00DC732C"/>
    <w:rsid w:val="00DD46B2"/>
    <w:rsid w:val="00DD75AC"/>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F816-FF96-405D-A488-14E44881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9853</Words>
  <Characters>56163</Characters>
  <Application>Microsoft Office Word</Application>
  <DocSecurity>0</DocSecurity>
  <Lines>468</Lines>
  <Paragraphs>131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2020-04-29T06:38:00Z</dcterms:created>
  <dcterms:modified xsi:type="dcterms:W3CDTF">2020-04-29T06:38:00Z</dcterms:modified>
</cp:coreProperties>
</file>