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об'єднуються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w:t>
      </w:r>
      <w:r w:rsidRPr="00311748">
        <w:rPr>
          <w:rFonts w:ascii="Times New Roman" w:eastAsia="Times New Roman" w:hAnsi="Times New Roman" w:cs="Times New Roman"/>
          <w:sz w:val="28"/>
          <w:szCs w:val="28"/>
          <w:lang w:eastAsia="uk-UA"/>
        </w:rPr>
        <w:lastRenderedPageBreak/>
        <w:t xml:space="preserve">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неможливо визначити номер договору (наприклад, за операціями з цінними паперами, дебіторською заборгованістю), то зазначається ідентифікатор </w:t>
      </w:r>
      <w:r w:rsidRPr="00580FC9">
        <w:rPr>
          <w:rFonts w:ascii="Times New Roman" w:eastAsia="Times New Roman" w:hAnsi="Times New Roman" w:cs="Times New Roman"/>
          <w:sz w:val="28"/>
          <w:szCs w:val="28"/>
          <w:lang w:eastAsia="uk-UA"/>
        </w:rPr>
        <w:lastRenderedPageBreak/>
        <w:t>(номер),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CC20D9" w:rsidRDefault="00CC20D9" w:rsidP="00BD46CE">
      <w:pPr>
        <w:spacing w:after="0" w:line="240" w:lineRule="auto"/>
        <w:ind w:firstLine="709"/>
        <w:contextualSpacing/>
        <w:jc w:val="both"/>
        <w:rPr>
          <w:rFonts w:ascii="Times New Roman" w:eastAsia="Times New Roman" w:hAnsi="Times New Roman" w:cs="Times New Roman"/>
          <w:sz w:val="28"/>
          <w:szCs w:val="28"/>
          <w:lang w:eastAsia="uk-UA"/>
        </w:rPr>
      </w:pPr>
    </w:p>
    <w:p w:rsidR="00CC20D9" w:rsidRPr="00526641" w:rsidRDefault="00CC20D9" w:rsidP="00CC20D9">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міжнародним стандартом фінансової звітності 9 "Фінансові інструменти"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 xml:space="preserve">НРП </w:t>
      </w:r>
      <w:r w:rsidR="00BD46CE" w:rsidRPr="00BD46CE">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LGD знаходиться в межах від 0 до 1 (не більше двох цифр після коми). За активними банківськими операціями, за якими </w:t>
      </w:r>
      <w:r w:rsidRPr="00A22B7E">
        <w:rPr>
          <w:rFonts w:ascii="Times New Roman" w:eastAsia="Times New Roman" w:hAnsi="Times New Roman" w:cs="Times New Roman"/>
          <w:sz w:val="28"/>
          <w:szCs w:val="28"/>
          <w:lang w:eastAsia="uk-UA"/>
        </w:rPr>
        <w:lastRenderedPageBreak/>
        <w:t>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 xml:space="preserve">2809А, 3002А, 3003А, 3005А, 3010А, 3011А, 3012А, 3013А, 3014А, 3040А, 3041А, 3042А, 3043А, 3044А, 3049А, 3102А, 3103А, 3105А, 3110А, 3111А, 3112А, 3113А, 3114А, 3140А, 3141А, 3142А, 3143А, 3144А, 3210А, 3211А, 3212А, 3213А, 3214А, 3412А, 3413А, </w:t>
      </w:r>
      <w:r w:rsidRPr="00AF3090">
        <w:rPr>
          <w:rFonts w:ascii="Times New Roman" w:eastAsia="Times New Roman" w:hAnsi="Times New Roman" w:cs="Times New Roman"/>
          <w:sz w:val="28"/>
          <w:szCs w:val="28"/>
          <w:lang w:eastAsia="uk-UA"/>
        </w:rPr>
        <w:lastRenderedPageBreak/>
        <w:t>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w:t>
      </w:r>
      <w:r w:rsidRPr="009201A2">
        <w:rPr>
          <w:rFonts w:ascii="Times New Roman" w:eastAsia="Times New Roman" w:hAnsi="Times New Roman" w:cs="Times New Roman"/>
          <w:sz w:val="28"/>
          <w:szCs w:val="28"/>
          <w:lang w:eastAsia="uk-UA"/>
        </w:rPr>
        <w:lastRenderedPageBreak/>
        <w:t xml:space="preserve">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lastRenderedPageBreak/>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lastRenderedPageBreak/>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3F28EE"/>
    <w:rsid w:val="00403386"/>
    <w:rsid w:val="004036FD"/>
    <w:rsid w:val="004117AE"/>
    <w:rsid w:val="0041287A"/>
    <w:rsid w:val="00424647"/>
    <w:rsid w:val="00431CAE"/>
    <w:rsid w:val="00443851"/>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6717"/>
    <w:rsid w:val="004E149A"/>
    <w:rsid w:val="004E2E62"/>
    <w:rsid w:val="004E308A"/>
    <w:rsid w:val="004E54F1"/>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45075"/>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52C87"/>
    <w:rsid w:val="00861A2C"/>
    <w:rsid w:val="00862872"/>
    <w:rsid w:val="00864020"/>
    <w:rsid w:val="00867DC2"/>
    <w:rsid w:val="00873AAE"/>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257B"/>
    <w:rsid w:val="00900790"/>
    <w:rsid w:val="00901C19"/>
    <w:rsid w:val="00914DEA"/>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15DF4"/>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4336"/>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20D9"/>
    <w:rsid w:val="00CC3FB2"/>
    <w:rsid w:val="00CD61E1"/>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579D"/>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C070-0D86-4496-9B10-F3346FAC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43640</Words>
  <Characters>24876</Characters>
  <Application>Microsoft Office Word</Application>
  <DocSecurity>0</DocSecurity>
  <Lines>207</Lines>
  <Paragraphs>136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2024-04-02T12:58:00Z</dcterms:created>
  <dcterms:modified xsi:type="dcterms:W3CDTF">2024-04-02T12:58:00Z</dcterms:modified>
</cp:coreProperties>
</file>