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04" w:rsidRPr="00E16781" w:rsidRDefault="00A80B04" w:rsidP="00315320">
      <w:pPr>
        <w:jc w:val="both"/>
        <w:rPr>
          <w:sz w:val="18"/>
          <w:szCs w:val="18"/>
        </w:rPr>
      </w:pPr>
    </w:p>
    <w:p w:rsidR="00BA02B7" w:rsidRDefault="00BA02B7" w:rsidP="009E47F1">
      <w:pPr>
        <w:ind w:firstLine="709"/>
        <w:jc w:val="both"/>
        <w:rPr>
          <w:sz w:val="28"/>
          <w:szCs w:val="28"/>
          <w:lang w:val="ru-RU"/>
        </w:rPr>
      </w:pPr>
    </w:p>
    <w:p w:rsidR="006A5D6A" w:rsidRPr="00A15A1B" w:rsidRDefault="006A5D6A" w:rsidP="006A5D6A">
      <w:pPr>
        <w:spacing w:after="120"/>
        <w:jc w:val="center"/>
        <w:rPr>
          <w:b/>
          <w:sz w:val="28"/>
          <w:szCs w:val="28"/>
          <w:lang w:eastAsia="uk-UA"/>
        </w:rPr>
      </w:pPr>
      <w:r w:rsidRPr="00A15A1B">
        <w:rPr>
          <w:b/>
          <w:sz w:val="28"/>
          <w:szCs w:val="28"/>
          <w:u w:val="single"/>
          <w:lang w:eastAsia="uk-UA"/>
        </w:rPr>
        <w:t>Правила формування показників</w:t>
      </w:r>
      <w:r w:rsidRPr="00A15A1B">
        <w:rPr>
          <w:b/>
          <w:sz w:val="28"/>
          <w:szCs w:val="28"/>
          <w:lang w:eastAsia="uk-UA"/>
        </w:rPr>
        <w:t>,</w:t>
      </w:r>
    </w:p>
    <w:p w:rsidR="006A5D6A" w:rsidRPr="00A15A1B" w:rsidRDefault="006A5D6A" w:rsidP="006A5D6A">
      <w:pPr>
        <w:spacing w:after="120"/>
        <w:jc w:val="center"/>
        <w:rPr>
          <w:b/>
          <w:sz w:val="28"/>
          <w:szCs w:val="28"/>
          <w:lang w:eastAsia="uk-UA"/>
        </w:rPr>
      </w:pPr>
      <w:r w:rsidRPr="00A15A1B">
        <w:rPr>
          <w:b/>
          <w:sz w:val="28"/>
          <w:szCs w:val="28"/>
          <w:lang w:eastAsia="uk-UA"/>
        </w:rPr>
        <w:t>що подаються у звітному файлі 6</w:t>
      </w:r>
      <w:r w:rsidRPr="00A15A1B">
        <w:rPr>
          <w:b/>
          <w:sz w:val="28"/>
          <w:szCs w:val="28"/>
          <w:lang w:val="en-US" w:eastAsia="uk-UA"/>
        </w:rPr>
        <w:t>NC</w:t>
      </w:r>
      <w:r w:rsidRPr="00A15A1B">
        <w:rPr>
          <w:b/>
          <w:sz w:val="28"/>
          <w:szCs w:val="28"/>
          <w:lang w:eastAsia="uk-UA"/>
        </w:rPr>
        <w:t xml:space="preserve"> “Дані щодо розрахунку на консолідованій основі коефіцієнта чистого стабільного фінансування (</w:t>
      </w:r>
      <w:r w:rsidRPr="00A15A1B">
        <w:rPr>
          <w:b/>
          <w:sz w:val="28"/>
          <w:szCs w:val="28"/>
          <w:lang w:val="en-US" w:eastAsia="uk-UA"/>
        </w:rPr>
        <w:t>NSF</w:t>
      </w:r>
      <w:r w:rsidRPr="00A15A1B">
        <w:rPr>
          <w:b/>
          <w:sz w:val="28"/>
          <w:szCs w:val="28"/>
          <w:lang w:eastAsia="uk-UA"/>
        </w:rPr>
        <w:t>Rк)”.</w:t>
      </w:r>
    </w:p>
    <w:p w:rsidR="006A5D6A" w:rsidRPr="00A15A1B" w:rsidRDefault="006A5D6A" w:rsidP="006A5D6A">
      <w:pPr>
        <w:ind w:firstLine="709"/>
        <w:jc w:val="both"/>
        <w:rPr>
          <w:bCs/>
          <w:sz w:val="28"/>
          <w:szCs w:val="28"/>
        </w:rPr>
      </w:pPr>
      <w:r w:rsidRPr="00A15A1B">
        <w:rPr>
          <w:bCs/>
          <w:sz w:val="28"/>
          <w:szCs w:val="28"/>
        </w:rPr>
        <w:t>1. Показники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розроблено з метою отримання інформації</w:t>
      </w:r>
      <w:r w:rsidRPr="00A15A1B">
        <w:rPr>
          <w:sz w:val="28"/>
          <w:szCs w:val="28"/>
        </w:rPr>
        <w:t xml:space="preserve"> щодо розрахунку на консолідованій основі </w:t>
      </w:r>
      <w:r w:rsidRPr="00A15A1B">
        <w:rPr>
          <w:sz w:val="28"/>
          <w:szCs w:val="28"/>
          <w:lang w:eastAsia="uk-UA"/>
        </w:rPr>
        <w:t>коефіцієнта чистого стабільного фінансування (</w:t>
      </w:r>
      <w:r w:rsidRPr="00A15A1B">
        <w:rPr>
          <w:sz w:val="28"/>
          <w:szCs w:val="28"/>
          <w:lang w:val="en-US" w:eastAsia="uk-UA"/>
        </w:rPr>
        <w:t>NSFR</w:t>
      </w:r>
      <w:r w:rsidRPr="00A15A1B">
        <w:rPr>
          <w:sz w:val="28"/>
          <w:szCs w:val="28"/>
          <w:lang w:eastAsia="uk-UA"/>
        </w:rPr>
        <w:t>к)</w:t>
      </w:r>
      <w:r w:rsidRPr="00A15A1B">
        <w:rPr>
          <w:bCs/>
          <w:sz w:val="28"/>
          <w:szCs w:val="28"/>
        </w:rPr>
        <w:t>.</w:t>
      </w:r>
    </w:p>
    <w:p w:rsidR="006A5D6A" w:rsidRPr="00A15A1B" w:rsidRDefault="006A5D6A" w:rsidP="006A5D6A">
      <w:pPr>
        <w:pStyle w:val="ab"/>
        <w:spacing w:before="0" w:beforeAutospacing="0" w:after="0" w:afterAutospacing="0"/>
        <w:ind w:firstLine="709"/>
        <w:jc w:val="both"/>
        <w:rPr>
          <w:sz w:val="28"/>
          <w:szCs w:val="28"/>
        </w:rPr>
      </w:pPr>
      <w:r w:rsidRPr="00A15A1B">
        <w:rPr>
          <w:sz w:val="28"/>
          <w:szCs w:val="28"/>
        </w:rPr>
        <w:t xml:space="preserve">Терміни та скорочення, які використані в цих Правилах, відповідають термінам та скороченням, визначеним у </w:t>
      </w:r>
      <w:r w:rsidRPr="00A15A1B">
        <w:rPr>
          <w:bCs/>
          <w:sz w:val="28"/>
          <w:szCs w:val="28"/>
        </w:rPr>
        <w:t xml:space="preserve">Методиці </w:t>
      </w:r>
      <w:r w:rsidRPr="00A15A1B">
        <w:rPr>
          <w:sz w:val="28"/>
          <w:szCs w:val="28"/>
        </w:rPr>
        <w:t xml:space="preserve">розрахунку коефіцієнта чистого стабільного фінансування (NSFR), схваленій рішенням Правління Національного банку України № 1001-рш від 24.12.2019 (зі змінами) (далі – Методика № 1001).  </w:t>
      </w:r>
    </w:p>
    <w:p w:rsidR="006A5D6A" w:rsidRPr="00A15A1B" w:rsidRDefault="006A5D6A" w:rsidP="006A5D6A">
      <w:pPr>
        <w:ind w:firstLine="709"/>
        <w:jc w:val="both"/>
        <w:rPr>
          <w:bCs/>
          <w:sz w:val="28"/>
          <w:szCs w:val="28"/>
        </w:rPr>
      </w:pPr>
    </w:p>
    <w:p w:rsidR="006A5D6A" w:rsidRPr="00A15A1B" w:rsidRDefault="006A5D6A" w:rsidP="006A5D6A">
      <w:pPr>
        <w:ind w:firstLine="709"/>
        <w:jc w:val="both"/>
        <w:rPr>
          <w:bCs/>
          <w:sz w:val="28"/>
          <w:szCs w:val="28"/>
        </w:rPr>
      </w:pPr>
      <w:r w:rsidRPr="00A15A1B">
        <w:rPr>
          <w:bCs/>
          <w:sz w:val="28"/>
          <w:szCs w:val="28"/>
        </w:rPr>
        <w:t>2. Під час формування показників файл</w:t>
      </w:r>
      <w:r w:rsidR="00F70AE7">
        <w:rPr>
          <w:bCs/>
          <w:sz w:val="28"/>
          <w:szCs w:val="28"/>
        </w:rPr>
        <w:t>а</w:t>
      </w:r>
      <w:r w:rsidRPr="00A15A1B">
        <w:rPr>
          <w:bCs/>
          <w:sz w:val="28"/>
          <w:szCs w:val="28"/>
        </w:rPr>
        <w:t xml:space="preserve"> 6N</w:t>
      </w:r>
      <w:r w:rsidRPr="00A15A1B">
        <w:rPr>
          <w:bCs/>
          <w:sz w:val="28"/>
          <w:szCs w:val="28"/>
          <w:lang w:val="en-US"/>
        </w:rPr>
        <w:t>C</w:t>
      </w:r>
      <w:r w:rsidRPr="00A15A1B">
        <w:rPr>
          <w:bCs/>
          <w:sz w:val="28"/>
          <w:szCs w:val="28"/>
        </w:rPr>
        <w:t xml:space="preserve"> слід керуватися Положенням про порядок регулювання діяльності банківських груп, затвердженим постановою Правління Національного банку України від 20.06.2012 № 254, зареєстрованим у Міністерстві юстиції України 12.07.2012 за № 1178/21490 (зі змінами) (далі </w:t>
      </w:r>
      <w:r w:rsidRPr="00A15A1B">
        <w:rPr>
          <w:bCs/>
          <w:sz w:val="28"/>
          <w:szCs w:val="28"/>
        </w:rPr>
        <w:softHyphen/>
        <w:t xml:space="preserve">– Положення № 254), </w:t>
      </w:r>
      <w:r w:rsidRPr="00A15A1B">
        <w:rPr>
          <w:sz w:val="28"/>
          <w:szCs w:val="28"/>
          <w:lang w:eastAsia="uk-UA"/>
        </w:rPr>
        <w:t>Методикою № 1001</w:t>
      </w:r>
      <w:r w:rsidRPr="00A15A1B">
        <w:rPr>
          <w:bCs/>
          <w:sz w:val="28"/>
          <w:szCs w:val="28"/>
        </w:rPr>
        <w:t xml:space="preserve">, Методикою розрахунку коефіцієнта покриття ліквідністю (LCR), схваленою рішенням Правління Національного банку України від 15.02.2018 № 101-рш (зі змінами) </w:t>
      </w:r>
      <w:r w:rsidRPr="00A15A1B">
        <w:rPr>
          <w:sz w:val="28"/>
          <w:szCs w:val="28"/>
          <w:lang w:eastAsia="uk-UA"/>
        </w:rPr>
        <w:t>(далі – Методика № 101)</w:t>
      </w:r>
      <w:r w:rsidRPr="00A15A1B">
        <w:rPr>
          <w:bCs/>
          <w:sz w:val="28"/>
          <w:szCs w:val="28"/>
        </w:rPr>
        <w:t>, Інструкцією про порядок складання та оприлюднення фінансової звітності банків України, затвердженою постановою Правління Національного банку України від 24.10.2011 № 373, зареєстрованою в Міністерстві юстиції України 10.11.2011 за № 1288/20026 (зі змінами), та внутрішніми положеннями банківської групи, розробленими відповідно до пункту 2.2 глави 2 розділу VІ Положення № 254 та підпункту 3 постанови Правління Національного банку України від 05.01.2024 № 2 “Про схвалення Змін до деяких нормативно-правових актів Національного банку України”.</w:t>
      </w:r>
    </w:p>
    <w:p w:rsidR="006A5D6A" w:rsidRPr="00A15A1B" w:rsidRDefault="006A5D6A" w:rsidP="006A5D6A">
      <w:pPr>
        <w:ind w:firstLine="708"/>
        <w:jc w:val="both"/>
        <w:rPr>
          <w:sz w:val="28"/>
          <w:szCs w:val="28"/>
        </w:rPr>
      </w:pPr>
    </w:p>
    <w:p w:rsidR="006A5D6A" w:rsidRPr="00A15A1B" w:rsidRDefault="006A5D6A" w:rsidP="003325B3">
      <w:pPr>
        <w:ind w:firstLine="708"/>
        <w:jc w:val="both"/>
        <w:rPr>
          <w:sz w:val="28"/>
          <w:szCs w:val="28"/>
          <w:lang w:eastAsia="uk-UA"/>
        </w:rPr>
      </w:pPr>
      <w:r w:rsidRPr="00A15A1B">
        <w:rPr>
          <w:sz w:val="28"/>
          <w:szCs w:val="28"/>
        </w:rPr>
        <w:t>3. П</w:t>
      </w:r>
      <w:r w:rsidRPr="00A15A1B">
        <w:rPr>
          <w:sz w:val="28"/>
          <w:szCs w:val="28"/>
          <w:lang w:eastAsia="uk-UA"/>
        </w:rPr>
        <w:t xml:space="preserve">оказники щодо наявного стабільного фінансування </w:t>
      </w:r>
      <w:r w:rsidRPr="00DB3466">
        <w:rPr>
          <w:sz w:val="28"/>
          <w:szCs w:val="28"/>
          <w:lang w:eastAsia="uk-UA"/>
        </w:rPr>
        <w:t>A6</w:t>
      </w:r>
      <w:r w:rsidRPr="00DB3466">
        <w:rPr>
          <w:sz w:val="28"/>
          <w:szCs w:val="28"/>
          <w:lang w:val="en-US" w:eastAsia="uk-UA"/>
        </w:rPr>
        <w:t>NC</w:t>
      </w:r>
      <w:r w:rsidRPr="00DB3466">
        <w:rPr>
          <w:sz w:val="28"/>
          <w:szCs w:val="28"/>
          <w:lang w:eastAsia="uk-UA"/>
        </w:rPr>
        <w:t>005-A6</w:t>
      </w:r>
      <w:r w:rsidRPr="00DB3466">
        <w:rPr>
          <w:sz w:val="28"/>
          <w:szCs w:val="28"/>
          <w:lang w:val="en-US" w:eastAsia="uk-UA"/>
        </w:rPr>
        <w:t>NC</w:t>
      </w:r>
      <w:r w:rsidRPr="00DB3466">
        <w:rPr>
          <w:sz w:val="28"/>
          <w:szCs w:val="28"/>
          <w:lang w:eastAsia="uk-UA"/>
        </w:rPr>
        <w:t>027</w:t>
      </w:r>
      <w:r w:rsidR="003325B3" w:rsidRPr="003325B3">
        <w:rPr>
          <w:sz w:val="28"/>
          <w:szCs w:val="28"/>
        </w:rPr>
        <w:t>,</w:t>
      </w:r>
      <w:r w:rsid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059</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060</w:t>
      </w:r>
      <w:r w:rsidR="003325B3" w:rsidRPr="003325B3">
        <w:rPr>
          <w:sz w:val="28"/>
          <w:szCs w:val="28"/>
        </w:rPr>
        <w:t xml:space="preserve">, </w:t>
      </w:r>
      <w:r w:rsidR="003325B3" w:rsidRPr="003325B3">
        <w:rPr>
          <w:sz w:val="28"/>
          <w:szCs w:val="28"/>
          <w:lang w:val="en-US"/>
        </w:rPr>
        <w:t>A</w:t>
      </w:r>
      <w:r w:rsidR="003325B3" w:rsidRPr="003325B3">
        <w:rPr>
          <w:sz w:val="28"/>
          <w:szCs w:val="28"/>
        </w:rPr>
        <w:t>6</w:t>
      </w:r>
      <w:r w:rsidR="003325B3" w:rsidRPr="003325B3">
        <w:rPr>
          <w:sz w:val="28"/>
          <w:szCs w:val="28"/>
          <w:lang w:val="en-US"/>
        </w:rPr>
        <w:t>N</w:t>
      </w:r>
      <w:r w:rsidR="00E96D8E">
        <w:rPr>
          <w:sz w:val="28"/>
          <w:szCs w:val="28"/>
          <w:lang w:val="en-US"/>
        </w:rPr>
        <w:t>C</w:t>
      </w:r>
      <w:r w:rsidR="00E96D8E">
        <w:rPr>
          <w:sz w:val="28"/>
          <w:szCs w:val="28"/>
        </w:rPr>
        <w:t>061</w:t>
      </w:r>
      <w:r w:rsidRPr="003325B3">
        <w:rPr>
          <w:sz w:val="28"/>
          <w:szCs w:val="28"/>
          <w:lang w:eastAsia="uk-UA"/>
        </w:rPr>
        <w:t xml:space="preserve"> </w:t>
      </w:r>
      <w:r w:rsidRPr="00A15A1B">
        <w:rPr>
          <w:sz w:val="28"/>
          <w:szCs w:val="28"/>
          <w:lang w:eastAsia="uk-UA"/>
        </w:rPr>
        <w:t xml:space="preserve">розраховуються згідно з вимогами розділу ІІІ Методики № 1001. За цими показниками відображається сума до зважування на відповідний коефіцієнт </w:t>
      </w:r>
      <w:r w:rsidRPr="00A15A1B">
        <w:rPr>
          <w:sz w:val="28"/>
          <w:szCs w:val="28"/>
          <w:lang w:val="en-US" w:eastAsia="uk-UA"/>
        </w:rPr>
        <w:t>ASF</w:t>
      </w:r>
      <w:r w:rsidRPr="00A15A1B">
        <w:rPr>
          <w:sz w:val="28"/>
          <w:szCs w:val="28"/>
          <w:lang w:eastAsia="uk-UA"/>
        </w:rPr>
        <w:t xml:space="preserve"> згідно з Додатком </w:t>
      </w:r>
      <w:r w:rsidRPr="00A15A1B">
        <w:rPr>
          <w:sz w:val="28"/>
          <w:szCs w:val="28"/>
          <w:lang w:val="ru-RU" w:eastAsia="uk-UA"/>
        </w:rPr>
        <w:t>1</w:t>
      </w:r>
      <w:r w:rsidRPr="00A15A1B">
        <w:rPr>
          <w:sz w:val="28"/>
          <w:szCs w:val="28"/>
          <w:lang w:eastAsia="uk-UA"/>
        </w:rPr>
        <w:t xml:space="preserve"> до Методики № 10</w:t>
      </w:r>
      <w:r w:rsidRPr="00A15A1B">
        <w:rPr>
          <w:sz w:val="28"/>
          <w:szCs w:val="28"/>
          <w:lang w:val="ru-RU" w:eastAsia="uk-UA"/>
        </w:rPr>
        <w:t>0</w:t>
      </w:r>
      <w:r w:rsidRPr="00A15A1B">
        <w:rPr>
          <w:sz w:val="28"/>
          <w:szCs w:val="28"/>
          <w:lang w:eastAsia="uk-UA"/>
        </w:rPr>
        <w:t>1.</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 xml:space="preserve">4. Показники щодо необхідного стабільного фінансування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030-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55</w:t>
      </w:r>
      <w:r w:rsidRPr="00A15A1B">
        <w:rPr>
          <w:sz w:val="28"/>
          <w:szCs w:val="28"/>
          <w:lang w:eastAsia="uk-UA"/>
        </w:rPr>
        <w:t xml:space="preserve"> розраховуються згідно з вимогами розділу І</w:t>
      </w:r>
      <w:r w:rsidRPr="00A15A1B">
        <w:rPr>
          <w:sz w:val="28"/>
          <w:szCs w:val="28"/>
          <w:lang w:val="en-US" w:eastAsia="uk-UA"/>
        </w:rPr>
        <w:t>V</w:t>
      </w:r>
      <w:r w:rsidRPr="00A15A1B">
        <w:rPr>
          <w:sz w:val="28"/>
          <w:szCs w:val="28"/>
          <w:lang w:eastAsia="uk-UA"/>
        </w:rPr>
        <w:t xml:space="preserve"> Методики № 1001. За цими показниками відображається сума до зважування на відповідний коефіцієнт </w:t>
      </w:r>
      <w:r w:rsidRPr="00A15A1B">
        <w:rPr>
          <w:sz w:val="28"/>
          <w:szCs w:val="28"/>
          <w:lang w:val="en-US" w:eastAsia="uk-UA"/>
        </w:rPr>
        <w:t>RSF</w:t>
      </w:r>
      <w:r w:rsidRPr="00A15A1B">
        <w:rPr>
          <w:sz w:val="28"/>
          <w:szCs w:val="28"/>
          <w:lang w:val="ru-RU" w:eastAsia="uk-UA"/>
        </w:rPr>
        <w:t xml:space="preserve"> </w:t>
      </w:r>
      <w:r w:rsidRPr="00A15A1B">
        <w:rPr>
          <w:sz w:val="28"/>
          <w:szCs w:val="28"/>
          <w:lang w:eastAsia="uk-UA"/>
        </w:rPr>
        <w:t>згідно з додатком 2 до Методики № 1001.</w:t>
      </w:r>
    </w:p>
    <w:p w:rsidR="006A5D6A" w:rsidRPr="00A15A1B" w:rsidRDefault="006A5D6A" w:rsidP="006A5D6A">
      <w:pPr>
        <w:ind w:firstLine="709"/>
        <w:jc w:val="both"/>
        <w:rPr>
          <w:sz w:val="28"/>
          <w:szCs w:val="28"/>
          <w:lang w:eastAsia="uk-UA"/>
        </w:rPr>
      </w:pPr>
      <w:r w:rsidRPr="00A15A1B">
        <w:rPr>
          <w:sz w:val="28"/>
          <w:szCs w:val="28"/>
          <w:lang w:eastAsia="uk-UA"/>
        </w:rPr>
        <w:lastRenderedPageBreak/>
        <w:t xml:space="preserve">До показників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032-</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043,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045-</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047,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049-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 xml:space="preserve">052, </w:t>
      </w:r>
      <w:r w:rsidRPr="00A15A1B">
        <w:rPr>
          <w:sz w:val="28"/>
          <w:szCs w:val="28"/>
          <w:lang w:val="en-US" w:eastAsia="uk-UA"/>
        </w:rPr>
        <w:t>A</w:t>
      </w:r>
      <w:r w:rsidRPr="00A15A1B">
        <w:rPr>
          <w:sz w:val="28"/>
          <w:szCs w:val="28"/>
          <w:lang w:eastAsia="uk-UA"/>
        </w:rPr>
        <w:t>6N</w:t>
      </w:r>
      <w:r w:rsidRPr="00A15A1B">
        <w:rPr>
          <w:sz w:val="28"/>
          <w:szCs w:val="28"/>
          <w:lang w:val="en-US" w:eastAsia="uk-UA"/>
        </w:rPr>
        <w:t>C</w:t>
      </w:r>
      <w:r w:rsidRPr="00A15A1B">
        <w:rPr>
          <w:sz w:val="28"/>
          <w:szCs w:val="28"/>
          <w:lang w:eastAsia="uk-UA"/>
        </w:rPr>
        <w:t>054 включаються активи, які відповідають вимогам щодо повністю працюючих активів згідно з Методикою № 101-рш.</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sz w:val="28"/>
          <w:szCs w:val="28"/>
          <w:lang w:eastAsia="uk-UA"/>
        </w:rPr>
        <w:t>5. До показників щодо наявного та необхідного стабільного фінансування</w:t>
      </w:r>
      <w:r w:rsidRPr="00DB3466">
        <w:rPr>
          <w:sz w:val="28"/>
          <w:szCs w:val="28"/>
          <w:lang w:eastAsia="uk-UA"/>
        </w:rPr>
        <w:t xml:space="preserve"> </w:t>
      </w:r>
      <w:r w:rsidRPr="00A15A1B">
        <w:rPr>
          <w:sz w:val="28"/>
          <w:szCs w:val="28"/>
          <w:lang w:eastAsia="uk-UA"/>
        </w:rPr>
        <w:t xml:space="preserve">іноземних учасників A6NC028, </w:t>
      </w:r>
      <w:r w:rsidRPr="001D3EC8">
        <w:rPr>
          <w:sz w:val="28"/>
          <w:szCs w:val="28"/>
          <w:lang w:val="en-US" w:eastAsia="uk-UA"/>
        </w:rPr>
        <w:t>A</w:t>
      </w:r>
      <w:r w:rsidRPr="001D3EC8">
        <w:rPr>
          <w:sz w:val="28"/>
          <w:szCs w:val="28"/>
          <w:lang w:eastAsia="uk-UA"/>
        </w:rPr>
        <w:t>6N</w:t>
      </w:r>
      <w:r w:rsidRPr="001D3EC8">
        <w:rPr>
          <w:sz w:val="28"/>
          <w:szCs w:val="28"/>
          <w:lang w:val="en-US" w:eastAsia="uk-UA"/>
        </w:rPr>
        <w:t>C</w:t>
      </w:r>
      <w:r w:rsidRPr="001D3EC8">
        <w:rPr>
          <w:sz w:val="28"/>
          <w:szCs w:val="28"/>
          <w:lang w:eastAsia="uk-UA"/>
        </w:rPr>
        <w:t>0</w:t>
      </w:r>
      <w:r w:rsidR="001D3EC8" w:rsidRPr="001D3EC8">
        <w:rPr>
          <w:sz w:val="28"/>
          <w:szCs w:val="28"/>
          <w:lang w:eastAsia="uk-UA"/>
        </w:rPr>
        <w:t>58</w:t>
      </w:r>
      <w:r w:rsidRPr="00A15A1B">
        <w:rPr>
          <w:sz w:val="28"/>
          <w:szCs w:val="28"/>
          <w:lang w:eastAsia="uk-UA"/>
        </w:rPr>
        <w:t xml:space="preserve"> включаються складові наявного стабільного фінансування та необхідного стабільного фінансування іноземних учасників кредитно-інвестиційної підгрупи банківської групи,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Ці складові включаються згідно з вимогами пункту 10 глави 5 розділу ІІІ Положення № 254 після зважування на відповідні коефіцієнти </w:t>
      </w:r>
      <w:r w:rsidRPr="00A15A1B">
        <w:rPr>
          <w:sz w:val="28"/>
          <w:szCs w:val="28"/>
          <w:lang w:val="en-US" w:eastAsia="uk-UA"/>
        </w:rPr>
        <w:t>ASF</w:t>
      </w:r>
      <w:r w:rsidRPr="00A15A1B">
        <w:rPr>
          <w:sz w:val="28"/>
          <w:szCs w:val="28"/>
          <w:lang w:eastAsia="uk-UA"/>
        </w:rPr>
        <w:t xml:space="preserve"> та </w:t>
      </w:r>
      <w:r w:rsidRPr="00A15A1B">
        <w:rPr>
          <w:sz w:val="28"/>
          <w:szCs w:val="28"/>
          <w:lang w:val="en-US" w:eastAsia="uk-UA"/>
        </w:rPr>
        <w:t>RSF</w:t>
      </w:r>
      <w:r w:rsidRPr="00A15A1B">
        <w:rPr>
          <w:sz w:val="28"/>
          <w:szCs w:val="28"/>
          <w:lang w:eastAsia="uk-UA"/>
        </w:rPr>
        <w:t>.</w:t>
      </w:r>
    </w:p>
    <w:p w:rsidR="006A5D6A" w:rsidRPr="00A15A1B" w:rsidRDefault="006A5D6A" w:rsidP="006A5D6A">
      <w:pPr>
        <w:ind w:firstLine="708"/>
        <w:jc w:val="both"/>
        <w:rPr>
          <w:sz w:val="28"/>
          <w:szCs w:val="28"/>
          <w:highlight w:val="yellow"/>
          <w:lang w:eastAsia="uk-UA"/>
        </w:rPr>
      </w:pPr>
    </w:p>
    <w:p w:rsidR="006A5D6A" w:rsidRPr="00A15A1B" w:rsidRDefault="006A5D6A" w:rsidP="006A5D6A">
      <w:pPr>
        <w:ind w:firstLine="709"/>
        <w:jc w:val="both"/>
        <w:rPr>
          <w:sz w:val="28"/>
          <w:szCs w:val="28"/>
          <w:lang w:eastAsia="uk-UA"/>
        </w:rPr>
      </w:pPr>
      <w:r w:rsidRPr="00A15A1B">
        <w:rPr>
          <w:sz w:val="28"/>
          <w:szCs w:val="28"/>
          <w:lang w:eastAsia="uk-UA"/>
        </w:rPr>
        <w:t>6. Під час розрахунку необхідного стабільного фінансування (RSF) активи та позабалансові зобов’язання уключаються за вирахуванням резервів/зносу.</w:t>
      </w:r>
    </w:p>
    <w:p w:rsidR="006A5D6A" w:rsidRPr="00A15A1B" w:rsidRDefault="006A5D6A" w:rsidP="006A5D6A">
      <w:pPr>
        <w:ind w:firstLine="709"/>
        <w:jc w:val="both"/>
        <w:rPr>
          <w:sz w:val="28"/>
          <w:szCs w:val="28"/>
          <w:lang w:eastAsia="uk-UA"/>
        </w:rPr>
      </w:pPr>
      <w:r w:rsidRPr="00A15A1B">
        <w:rPr>
          <w:sz w:val="28"/>
          <w:szCs w:val="28"/>
          <w:lang w:eastAsia="uk-UA"/>
        </w:rPr>
        <w:t xml:space="preserve">Сума резерву за окремою активною операцією не повинна перевищувати сукупної суми інших складових балансової вартості цієї операції. </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lang w:eastAsia="uk-UA"/>
        </w:rPr>
      </w:pPr>
      <w:r w:rsidRPr="00A15A1B">
        <w:rPr>
          <w:sz w:val="28"/>
          <w:szCs w:val="28"/>
        </w:rPr>
        <w:t xml:space="preserve">7. Показники файлу </w:t>
      </w:r>
      <w:r w:rsidRPr="00A15A1B">
        <w:rPr>
          <w:bCs/>
          <w:sz w:val="28"/>
          <w:szCs w:val="28"/>
        </w:rPr>
        <w:t>6N</w:t>
      </w:r>
      <w:r w:rsidRPr="00A15A1B">
        <w:rPr>
          <w:bCs/>
          <w:sz w:val="28"/>
          <w:szCs w:val="28"/>
          <w:lang w:val="en-US"/>
        </w:rPr>
        <w:t>C</w:t>
      </w:r>
      <w:r w:rsidRPr="00A15A1B">
        <w:rPr>
          <w:sz w:val="28"/>
          <w:szCs w:val="28"/>
        </w:rPr>
        <w:t xml:space="preserve"> </w:t>
      </w:r>
      <w:r w:rsidRPr="00A15A1B">
        <w:rPr>
          <w:sz w:val="28"/>
          <w:szCs w:val="28"/>
          <w:lang w:eastAsia="uk-UA"/>
        </w:rPr>
        <w:t xml:space="preserve">наявного та необхідного стабільного фінансування, </w:t>
      </w:r>
      <w:r w:rsidRPr="00A15A1B">
        <w:rPr>
          <w:sz w:val="28"/>
          <w:szCs w:val="28"/>
        </w:rPr>
        <w:t>значення коефіцієнта чистого стабільного фінансування (NSFRк) банківської групи заповнюються за</w:t>
      </w:r>
      <w:r w:rsidRPr="00A15A1B">
        <w:rPr>
          <w:sz w:val="28"/>
          <w:szCs w:val="28"/>
          <w:lang w:eastAsia="uk-UA"/>
        </w:rPr>
        <w:t>:</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lang w:eastAsia="uk-UA"/>
        </w:rPr>
      </w:pPr>
      <w:r w:rsidRPr="00A15A1B">
        <w:rPr>
          <w:sz w:val="28"/>
          <w:szCs w:val="28"/>
          <w:lang w:eastAsia="uk-UA"/>
        </w:rPr>
        <w:t> кредитно-інвестиційною підгрупою банківської групи зі значенням “2” довідника F058;</w:t>
      </w:r>
    </w:p>
    <w:p w:rsidR="006A5D6A" w:rsidRPr="00A15A1B" w:rsidRDefault="006A5D6A" w:rsidP="006A5D6A">
      <w:pPr>
        <w:pStyle w:val="ad"/>
        <w:widowControl/>
        <w:numPr>
          <w:ilvl w:val="0"/>
          <w:numId w:val="33"/>
        </w:numPr>
        <w:autoSpaceDE/>
        <w:autoSpaceDN/>
        <w:adjustRightInd/>
        <w:ind w:left="0" w:firstLine="567"/>
        <w:contextualSpacing/>
        <w:jc w:val="both"/>
        <w:rPr>
          <w:sz w:val="28"/>
          <w:szCs w:val="28"/>
        </w:rPr>
      </w:pPr>
      <w:r w:rsidRPr="00A15A1B">
        <w:rPr>
          <w:sz w:val="28"/>
          <w:szCs w:val="28"/>
          <w:lang w:eastAsia="uk-UA"/>
        </w:rPr>
        <w:t xml:space="preserve"> підгрупою банківської групи, визначеною за географічним критерієм </w:t>
      </w:r>
      <w:r w:rsidRPr="00A15A1B">
        <w:rPr>
          <w:sz w:val="28"/>
          <w:szCs w:val="28"/>
          <w:lang w:val="ru-RU" w:eastAsia="uk-UA"/>
        </w:rPr>
        <w:t xml:space="preserve">[за учасниками підгрупи в цілому (крім страхових компаній)] </w:t>
      </w:r>
      <w:r w:rsidRPr="00A15A1B">
        <w:rPr>
          <w:sz w:val="28"/>
          <w:szCs w:val="28"/>
          <w:lang w:eastAsia="uk-UA"/>
        </w:rPr>
        <w:t>зі значенням “4” довідника F058.</w:t>
      </w:r>
    </w:p>
    <w:p w:rsidR="006A5D6A" w:rsidRPr="00A15A1B" w:rsidRDefault="006A5D6A" w:rsidP="006A5D6A">
      <w:pPr>
        <w:ind w:firstLine="708"/>
        <w:jc w:val="both"/>
        <w:rPr>
          <w:sz w:val="28"/>
          <w:szCs w:val="28"/>
        </w:rPr>
      </w:pPr>
    </w:p>
    <w:p w:rsidR="006A5D6A" w:rsidRPr="00A15A1B" w:rsidRDefault="006A5D6A" w:rsidP="006A5D6A">
      <w:pPr>
        <w:ind w:firstLine="708"/>
        <w:jc w:val="both"/>
        <w:rPr>
          <w:sz w:val="28"/>
          <w:szCs w:val="28"/>
        </w:rPr>
      </w:pPr>
      <w:r w:rsidRPr="00A15A1B">
        <w:rPr>
          <w:sz w:val="28"/>
          <w:szCs w:val="28"/>
        </w:rPr>
        <w:t>8. У разі застосування відповідальною особою банківської групи права, визначеного п</w:t>
      </w:r>
      <w:r w:rsidR="004B35BC">
        <w:rPr>
          <w:sz w:val="28"/>
          <w:szCs w:val="28"/>
        </w:rPr>
        <w:t>унктом 15 розділу I Положення № </w:t>
      </w:r>
      <w:r w:rsidRPr="00A15A1B">
        <w:rPr>
          <w:sz w:val="28"/>
          <w:szCs w:val="28"/>
        </w:rPr>
        <w:t xml:space="preserve">254, подається  нульовий  файл. </w:t>
      </w:r>
    </w:p>
    <w:p w:rsidR="006A5D6A" w:rsidRPr="00A15A1B" w:rsidRDefault="006A5D6A" w:rsidP="006A5D6A">
      <w:pPr>
        <w:ind w:firstLine="709"/>
        <w:jc w:val="both"/>
        <w:rPr>
          <w:sz w:val="28"/>
          <w:szCs w:val="28"/>
        </w:rPr>
      </w:pP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center"/>
        <w:rPr>
          <w:b/>
          <w:sz w:val="28"/>
          <w:szCs w:val="28"/>
          <w:u w:val="single"/>
          <w:lang w:eastAsia="uk-UA"/>
        </w:rPr>
      </w:pPr>
      <w:r w:rsidRPr="00A15A1B">
        <w:rPr>
          <w:b/>
          <w:sz w:val="28"/>
          <w:szCs w:val="28"/>
          <w:u w:val="single"/>
          <w:lang w:eastAsia="uk-UA"/>
        </w:rPr>
        <w:t xml:space="preserve">Особливості </w:t>
      </w:r>
      <w:r w:rsidRPr="00A15A1B">
        <w:rPr>
          <w:b/>
          <w:sz w:val="28"/>
          <w:szCs w:val="28"/>
          <w:u w:val="single"/>
          <w:lang w:val="ru-RU" w:eastAsia="uk-UA"/>
        </w:rPr>
        <w:t xml:space="preserve">правил </w:t>
      </w:r>
      <w:r w:rsidRPr="00A15A1B">
        <w:rPr>
          <w:b/>
          <w:sz w:val="28"/>
          <w:szCs w:val="28"/>
          <w:u w:val="single"/>
          <w:lang w:eastAsia="uk-UA"/>
        </w:rPr>
        <w:t>формування показників</w:t>
      </w:r>
      <w:r w:rsidRPr="00A15A1B">
        <w:rPr>
          <w:b/>
          <w:sz w:val="28"/>
          <w:szCs w:val="28"/>
          <w:lang w:eastAsia="uk-UA"/>
        </w:rPr>
        <w:t>.</w:t>
      </w:r>
    </w:p>
    <w:p w:rsidR="006A5D6A" w:rsidRPr="00A15A1B" w:rsidRDefault="006A5D6A" w:rsidP="006A5D6A">
      <w:pPr>
        <w:ind w:firstLine="709"/>
        <w:jc w:val="both"/>
        <w:rPr>
          <w:b/>
          <w:sz w:val="28"/>
          <w:szCs w:val="28"/>
          <w:u w:val="single"/>
          <w:lang w:eastAsia="uk-UA"/>
        </w:rPr>
      </w:pPr>
    </w:p>
    <w:p w:rsidR="006A5D6A" w:rsidRPr="00A15A1B" w:rsidRDefault="006A5D6A" w:rsidP="006A5D6A">
      <w:pPr>
        <w:jc w:val="center"/>
        <w:rPr>
          <w:b/>
          <w:sz w:val="28"/>
          <w:szCs w:val="28"/>
          <w:u w:val="single"/>
          <w:lang w:eastAsia="uk-UA"/>
        </w:rPr>
      </w:pPr>
      <w:r w:rsidRPr="00A15A1B">
        <w:rPr>
          <w:b/>
          <w:sz w:val="28"/>
          <w:szCs w:val="28"/>
          <w:u w:val="single"/>
          <w:lang w:eastAsia="uk-UA"/>
        </w:rPr>
        <w:t>Опис параметрів.</w:t>
      </w:r>
    </w:p>
    <w:p w:rsidR="006A5D6A" w:rsidRPr="00A15A1B" w:rsidRDefault="006A5D6A" w:rsidP="006A5D6A">
      <w:pPr>
        <w:pStyle w:val="ad"/>
        <w:ind w:left="1069"/>
        <w:rPr>
          <w:b/>
          <w:sz w:val="28"/>
          <w:szCs w:val="28"/>
          <w:u w:val="single"/>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Параметр R030</w:t>
      </w:r>
      <w:r w:rsidRPr="00A15A1B">
        <w:rPr>
          <w:sz w:val="28"/>
          <w:szCs w:val="28"/>
          <w:lang w:eastAsia="uk-UA"/>
        </w:rPr>
        <w:t xml:space="preserve"> – код валюти (довідник R030).</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val="ru-RU" w:eastAsia="uk-UA"/>
        </w:rPr>
        <w:t>242</w:t>
      </w:r>
      <w:r w:rsidRPr="00A15A1B">
        <w:rPr>
          <w:sz w:val="28"/>
          <w:szCs w:val="28"/>
          <w:lang w:eastAsia="uk-UA"/>
        </w:rPr>
        <w:t xml:space="preserve"> – коди строків до погашення (стабільне фінансування) (довідник </w:t>
      </w:r>
      <w:r w:rsidRPr="00A15A1B">
        <w:rPr>
          <w:sz w:val="28"/>
          <w:szCs w:val="28"/>
          <w:lang w:val="en-US" w:eastAsia="uk-UA"/>
        </w:rPr>
        <w:t>S</w:t>
      </w:r>
      <w:r w:rsidRPr="00A15A1B">
        <w:rPr>
          <w:sz w:val="28"/>
          <w:szCs w:val="28"/>
          <w:lang w:val="ru-RU" w:eastAsia="uk-UA"/>
        </w:rPr>
        <w:t>242</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S</w:t>
      </w:r>
      <w:r w:rsidRPr="00A15A1B">
        <w:rPr>
          <w:b/>
          <w:sz w:val="28"/>
          <w:szCs w:val="28"/>
          <w:lang w:eastAsia="uk-UA"/>
        </w:rPr>
        <w:t>3</w:t>
      </w:r>
      <w:r w:rsidRPr="00A15A1B">
        <w:rPr>
          <w:b/>
          <w:sz w:val="28"/>
          <w:szCs w:val="28"/>
          <w:lang w:val="ru-RU" w:eastAsia="uk-UA"/>
        </w:rPr>
        <w:t>20</w:t>
      </w:r>
      <w:r w:rsidRPr="00A15A1B">
        <w:rPr>
          <w:sz w:val="28"/>
          <w:szCs w:val="28"/>
          <w:lang w:eastAsia="uk-UA"/>
        </w:rPr>
        <w:t xml:space="preserve"> – коди строків обтяження активу (довідник </w:t>
      </w:r>
      <w:r w:rsidRPr="00A15A1B">
        <w:rPr>
          <w:sz w:val="28"/>
          <w:szCs w:val="28"/>
          <w:lang w:val="en-US" w:eastAsia="uk-UA"/>
        </w:rPr>
        <w:t>S</w:t>
      </w:r>
      <w:r w:rsidRPr="00A15A1B">
        <w:rPr>
          <w:sz w:val="28"/>
          <w:szCs w:val="28"/>
          <w:lang w:val="ru-RU" w:eastAsia="uk-UA"/>
        </w:rPr>
        <w:t>320</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Параметр </w:t>
      </w:r>
      <w:r w:rsidRPr="00A15A1B">
        <w:rPr>
          <w:b/>
          <w:sz w:val="28"/>
          <w:szCs w:val="28"/>
          <w:lang w:val="en-US" w:eastAsia="uk-UA"/>
        </w:rPr>
        <w:t>F</w:t>
      </w:r>
      <w:r w:rsidRPr="00A15A1B">
        <w:rPr>
          <w:b/>
          <w:sz w:val="28"/>
          <w:szCs w:val="28"/>
          <w:lang w:eastAsia="uk-UA"/>
        </w:rPr>
        <w:t>083</w:t>
      </w:r>
      <w:r w:rsidRPr="00A15A1B">
        <w:rPr>
          <w:b/>
          <w:sz w:val="28"/>
          <w:szCs w:val="28"/>
          <w:lang w:val="en-US" w:eastAsia="uk-UA"/>
        </w:rPr>
        <w:t>A</w:t>
      </w:r>
      <w:r w:rsidRPr="00A15A1B">
        <w:rPr>
          <w:sz w:val="28"/>
          <w:szCs w:val="28"/>
          <w:lang w:eastAsia="uk-UA"/>
        </w:rPr>
        <w:t xml:space="preserve"> – код складової балансової вартості (довідник </w:t>
      </w:r>
      <w:r w:rsidRPr="00A15A1B">
        <w:rPr>
          <w:sz w:val="28"/>
          <w:szCs w:val="28"/>
          <w:lang w:val="en-US" w:eastAsia="uk-UA"/>
        </w:rPr>
        <w:t>F</w:t>
      </w:r>
      <w:r w:rsidRPr="00A15A1B">
        <w:rPr>
          <w:sz w:val="28"/>
          <w:szCs w:val="28"/>
          <w:lang w:eastAsia="uk-UA"/>
        </w:rPr>
        <w:t>083</w:t>
      </w:r>
      <w:r w:rsidRPr="00A15A1B">
        <w:rPr>
          <w:sz w:val="28"/>
          <w:szCs w:val="28"/>
          <w:lang w:val="en-US" w:eastAsia="uk-UA"/>
        </w:rPr>
        <w:t>A</w:t>
      </w:r>
      <w:r w:rsidRPr="00A15A1B">
        <w:rPr>
          <w:sz w:val="28"/>
          <w:szCs w:val="28"/>
          <w:lang w:eastAsia="uk-UA"/>
        </w:rPr>
        <w:t>).</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Параметр F058</w:t>
      </w:r>
      <w:r w:rsidRPr="00A15A1B">
        <w:rPr>
          <w:sz w:val="28"/>
          <w:szCs w:val="28"/>
          <w:lang w:eastAsia="uk-UA"/>
        </w:rPr>
        <w:t xml:space="preserve"> – код підгрупи банківської групи (довідник F058).</w:t>
      </w:r>
    </w:p>
    <w:p w:rsidR="006A5D6A" w:rsidRPr="00A15A1B" w:rsidRDefault="006A5D6A" w:rsidP="006A5D6A">
      <w:pPr>
        <w:ind w:firstLine="709"/>
        <w:jc w:val="both"/>
        <w:rPr>
          <w:sz w:val="28"/>
          <w:szCs w:val="28"/>
          <w:lang w:eastAsia="uk-UA"/>
        </w:rPr>
      </w:pPr>
    </w:p>
    <w:p w:rsidR="006A5D6A" w:rsidRPr="00A15A1B" w:rsidRDefault="006A5D6A" w:rsidP="006A5D6A">
      <w:pPr>
        <w:ind w:firstLine="709"/>
        <w:jc w:val="both"/>
        <w:rPr>
          <w:sz w:val="28"/>
          <w:szCs w:val="28"/>
          <w:lang w:eastAsia="uk-UA"/>
        </w:rPr>
      </w:pPr>
      <w:r w:rsidRPr="00A15A1B">
        <w:rPr>
          <w:b/>
          <w:sz w:val="28"/>
          <w:szCs w:val="28"/>
          <w:lang w:eastAsia="uk-UA"/>
        </w:rPr>
        <w:t xml:space="preserve">НРП Q003_2 </w:t>
      </w:r>
      <w:r w:rsidRPr="00A15A1B">
        <w:rPr>
          <w:sz w:val="28"/>
          <w:szCs w:val="28"/>
          <w:lang w:eastAsia="uk-UA"/>
        </w:rPr>
        <w:t>– порядковий номер підгрупи банківської групи. Номер необхідно доповнити ведучими нулями до 2 знаків; для кредитно-інвестиційної підгрупи завжди (=01).</w:t>
      </w:r>
    </w:p>
    <w:p w:rsidR="006A5D6A" w:rsidRPr="00A15A1B" w:rsidRDefault="006A5D6A" w:rsidP="006A5D6A">
      <w:pPr>
        <w:ind w:firstLine="709"/>
        <w:jc w:val="center"/>
        <w:rPr>
          <w:sz w:val="28"/>
          <w:szCs w:val="28"/>
          <w:lang w:eastAsia="uk-UA"/>
        </w:rPr>
      </w:pPr>
    </w:p>
    <w:p w:rsidR="006A5D6A" w:rsidRDefault="006A5D6A" w:rsidP="006A5D6A">
      <w:pPr>
        <w:ind w:firstLine="709"/>
        <w:jc w:val="center"/>
        <w:rPr>
          <w:b/>
          <w:sz w:val="28"/>
          <w:szCs w:val="28"/>
          <w:u w:val="single"/>
          <w:lang w:eastAsia="uk-UA"/>
        </w:rPr>
      </w:pPr>
      <w:r w:rsidRPr="00A15A1B">
        <w:rPr>
          <w:b/>
          <w:sz w:val="28"/>
          <w:szCs w:val="28"/>
          <w:u w:val="single"/>
          <w:lang w:eastAsia="uk-UA"/>
        </w:rPr>
        <w:t>Правила формування показників.</w:t>
      </w:r>
    </w:p>
    <w:p w:rsidR="00AC26D5" w:rsidRPr="00A15A1B" w:rsidRDefault="00AC26D5" w:rsidP="006A5D6A">
      <w:pPr>
        <w:ind w:firstLine="709"/>
        <w:jc w:val="center"/>
        <w:rPr>
          <w:sz w:val="28"/>
          <w:szCs w:val="28"/>
          <w:lang w:eastAsia="uk-UA"/>
        </w:rPr>
      </w:pPr>
    </w:p>
    <w:tbl>
      <w:tblPr>
        <w:tblStyle w:val="aa"/>
        <w:tblW w:w="11199" w:type="dxa"/>
        <w:jc w:val="center"/>
        <w:tblLayout w:type="fixed"/>
        <w:tblLook w:val="04A0" w:firstRow="1" w:lastRow="0" w:firstColumn="1" w:lastColumn="0" w:noHBand="0" w:noVBand="1"/>
      </w:tblPr>
      <w:tblGrid>
        <w:gridCol w:w="506"/>
        <w:gridCol w:w="1150"/>
        <w:gridCol w:w="1263"/>
        <w:gridCol w:w="3744"/>
        <w:gridCol w:w="4536"/>
      </w:tblGrid>
      <w:tr w:rsidR="004B35BC" w:rsidRPr="00A15A1B" w:rsidTr="00B523D2">
        <w:trPr>
          <w:jc w:val="center"/>
        </w:trPr>
        <w:tc>
          <w:tcPr>
            <w:tcW w:w="506" w:type="dxa"/>
            <w:tcBorders>
              <w:bottom w:val="single" w:sz="4" w:space="0" w:color="auto"/>
            </w:tcBorders>
          </w:tcPr>
          <w:p w:rsidR="004B35BC" w:rsidRPr="00A15A1B" w:rsidRDefault="004B35BC" w:rsidP="0030150A">
            <w:pPr>
              <w:jc w:val="center"/>
              <w:rPr>
                <w:sz w:val="24"/>
                <w:szCs w:val="24"/>
                <w:lang w:eastAsia="uk-UA"/>
              </w:rPr>
            </w:pPr>
            <w:r w:rsidRPr="00A15A1B">
              <w:rPr>
                <w:sz w:val="24"/>
                <w:szCs w:val="24"/>
                <w:lang w:eastAsia="uk-UA"/>
              </w:rPr>
              <w:t>№ з/п</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 xml:space="preserve">ID </w:t>
            </w:r>
            <w:r w:rsidRPr="00A15A1B">
              <w:rPr>
                <w:sz w:val="24"/>
                <w:szCs w:val="24"/>
                <w:lang w:eastAsia="uk-UA"/>
              </w:rPr>
              <w:t>показника</w:t>
            </w:r>
          </w:p>
        </w:tc>
        <w:tc>
          <w:tcPr>
            <w:tcW w:w="8280" w:type="dxa"/>
            <w:gridSpan w:val="2"/>
          </w:tcPr>
          <w:p w:rsidR="004B35BC" w:rsidRPr="00A15A1B" w:rsidRDefault="004B35BC" w:rsidP="0030150A">
            <w:pPr>
              <w:jc w:val="center"/>
              <w:rPr>
                <w:sz w:val="24"/>
                <w:szCs w:val="24"/>
                <w:lang w:eastAsia="uk-UA"/>
              </w:rPr>
            </w:pPr>
            <w:r w:rsidRPr="00A15A1B">
              <w:rPr>
                <w:sz w:val="24"/>
                <w:szCs w:val="24"/>
                <w:lang w:eastAsia="uk-UA"/>
              </w:rPr>
              <w:t>Правило формування показника</w:t>
            </w:r>
          </w:p>
        </w:tc>
      </w:tr>
      <w:tr w:rsidR="004B35BC" w:rsidRPr="00A15A1B" w:rsidTr="00B523D2">
        <w:trPr>
          <w:jc w:val="center"/>
        </w:trPr>
        <w:tc>
          <w:tcPr>
            <w:tcW w:w="506" w:type="dxa"/>
            <w:tcBorders>
              <w:top w:val="single" w:sz="4" w:space="0" w:color="auto"/>
            </w:tcBorders>
          </w:tcPr>
          <w:p w:rsidR="004B35BC" w:rsidRPr="00A15A1B" w:rsidRDefault="00D56F1F" w:rsidP="0030150A">
            <w:pPr>
              <w:jc w:val="center"/>
              <w:rPr>
                <w:sz w:val="24"/>
                <w:szCs w:val="24"/>
                <w:lang w:eastAsia="uk-UA"/>
              </w:rPr>
            </w:pPr>
            <w:r>
              <w:rPr>
                <w:sz w:val="24"/>
                <w:szCs w:val="24"/>
                <w:lang w:eastAsia="uk-UA"/>
              </w:rPr>
              <w:t>1</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за всіма валютами</w:t>
            </w:r>
          </w:p>
          <w:p w:rsidR="004B35BC" w:rsidRPr="00A15A1B" w:rsidRDefault="004B35BC" w:rsidP="0030150A">
            <w:pPr>
              <w:jc w:val="both"/>
              <w:rPr>
                <w:b/>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(NSFRк) в національній валюті</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2. Показник розраховується за всіма активами та зобов’язаннями банку, які здійснені в національній валюті.</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3</w:t>
            </w:r>
          </w:p>
        </w:tc>
        <w:tc>
          <w:tcPr>
            <w:tcW w:w="1150" w:type="dxa"/>
          </w:tcPr>
          <w:p w:rsidR="004B35BC" w:rsidRPr="00A15A1B" w:rsidRDefault="004B35BC" w:rsidP="0030150A">
            <w:pPr>
              <w:jc w:val="center"/>
              <w:rPr>
                <w:sz w:val="24"/>
                <w:szCs w:val="24"/>
                <w:lang w:eastAsia="uk-UA"/>
              </w:rPr>
            </w:pPr>
            <w:r w:rsidRPr="00A15A1B">
              <w:rPr>
                <w:sz w:val="24"/>
                <w:szCs w:val="24"/>
                <w:lang w:eastAsia="uk-UA"/>
              </w:rPr>
              <w:t>–</w:t>
            </w:r>
          </w:p>
        </w:tc>
        <w:tc>
          <w:tcPr>
            <w:tcW w:w="1263" w:type="dxa"/>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Коефіцієнт чистого стабільного фінансування (NSFR</w:t>
            </w:r>
            <w:r w:rsidR="00DB3466" w:rsidRPr="005139FE">
              <w:rPr>
                <w:b/>
                <w:sz w:val="24"/>
                <w:szCs w:val="24"/>
                <w:lang w:val="uk-UA" w:eastAsia="uk-UA"/>
              </w:rPr>
              <w:t>к</w:t>
            </w:r>
            <w:r w:rsidRPr="00A15A1B">
              <w:rPr>
                <w:b/>
                <w:sz w:val="24"/>
                <w:szCs w:val="24"/>
                <w:lang w:eastAsia="uk-UA"/>
              </w:rPr>
              <w:t>) за іноземними валютами</w:t>
            </w:r>
          </w:p>
          <w:p w:rsidR="004B35BC" w:rsidRPr="00A15A1B" w:rsidRDefault="004B35BC" w:rsidP="0030150A">
            <w:pPr>
              <w:jc w:val="both"/>
              <w:rPr>
                <w:sz w:val="24"/>
                <w:szCs w:val="24"/>
                <w:lang w:eastAsia="uk-UA"/>
              </w:rPr>
            </w:pPr>
            <w:r w:rsidRPr="00A15A1B">
              <w:rPr>
                <w:sz w:val="24"/>
                <w:szCs w:val="24"/>
                <w:lang w:eastAsia="uk-UA"/>
              </w:rPr>
              <w:t xml:space="preserve">1. Показник розраховується відповідно до глави 5 розділу ІІІ Положення № 254 </w:t>
            </w:r>
            <w:r w:rsidRPr="00A15A1B">
              <w:rPr>
                <w:sz w:val="24"/>
                <w:szCs w:val="24"/>
                <w:lang w:eastAsia="uk-UA"/>
              </w:rPr>
              <w:lastRenderedPageBreak/>
              <w:t>та розділу ІІ Методики № 1001.</w:t>
            </w:r>
          </w:p>
          <w:p w:rsidR="004B35BC" w:rsidRPr="00A15A1B" w:rsidRDefault="004B35BC" w:rsidP="0030150A">
            <w:pPr>
              <w:jc w:val="both"/>
              <w:rPr>
                <w:sz w:val="24"/>
                <w:szCs w:val="24"/>
                <w:lang w:eastAsia="uk-UA"/>
              </w:rPr>
            </w:pPr>
            <w:r w:rsidRPr="00A15A1B">
              <w:rPr>
                <w:sz w:val="24"/>
                <w:szCs w:val="24"/>
                <w:lang w:eastAsia="uk-UA"/>
              </w:rPr>
              <w:t xml:space="preserve">2. Показник розраховується в гривневому еквіваленті за всіма активами та зобов’язаннями банку, які здійснені в іноземній валюті. </w:t>
            </w:r>
          </w:p>
          <w:p w:rsidR="004B35BC" w:rsidRPr="00A15A1B" w:rsidRDefault="004B35BC" w:rsidP="0030150A">
            <w:pPr>
              <w:ind w:firstLine="229"/>
              <w:jc w:val="both"/>
              <w:rPr>
                <w:sz w:val="24"/>
                <w:szCs w:val="24"/>
                <w:lang w:eastAsia="uk-UA"/>
              </w:rPr>
            </w:pPr>
            <w:r w:rsidRPr="00A15A1B">
              <w:rPr>
                <w:sz w:val="24"/>
                <w:szCs w:val="24"/>
                <w:lang w:eastAsia="uk-UA"/>
              </w:rPr>
              <w:t xml:space="preserve">Усі складові чисельника та знаменника </w:t>
            </w:r>
            <w:r w:rsidRPr="005139FE">
              <w:rPr>
                <w:sz w:val="24"/>
                <w:szCs w:val="24"/>
                <w:lang w:eastAsia="uk-UA"/>
              </w:rPr>
              <w:t>NSFR</w:t>
            </w:r>
            <w:r w:rsidR="001D3EC8">
              <w:rPr>
                <w:sz w:val="24"/>
                <w:szCs w:val="24"/>
                <w:lang w:eastAsia="uk-UA"/>
              </w:rPr>
              <w:t>к</w:t>
            </w:r>
            <w:r w:rsidRPr="00A15A1B">
              <w:rPr>
                <w:sz w:val="24"/>
                <w:szCs w:val="24"/>
                <w:lang w:eastAsia="uk-UA"/>
              </w:rPr>
              <w:t xml:space="preserve"> в іноземних валютах розраховуються в гривневому еквіваленті за офіційним курсом гривні до кожної з іноземної валюти, установленим Національним банком на відповідну дату.</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lastRenderedPageBreak/>
              <w:t>4</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04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наявного стабільного фінансування (ASF)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ІІІ Методики №1001 та включає суму всіх складових наявного стабільного фінансування (ASF), зважених на відповідні коефіцієнти ASF, визначені в таблиці Додатку 1 до Методики № 1001.</w:t>
            </w:r>
          </w:p>
          <w:p w:rsidR="004B35BC" w:rsidRPr="00A15A1B" w:rsidRDefault="004B35BC" w:rsidP="0030150A">
            <w:pPr>
              <w:jc w:val="both"/>
              <w:rPr>
                <w:b/>
                <w:sz w:val="24"/>
                <w:szCs w:val="24"/>
                <w:lang w:eastAsia="uk-UA"/>
              </w:rPr>
            </w:pPr>
            <w:r w:rsidRPr="00A15A1B">
              <w:rPr>
                <w:sz w:val="24"/>
                <w:szCs w:val="24"/>
                <w:lang w:eastAsia="uk-UA"/>
              </w:rPr>
              <w:t xml:space="preserve">2. До показника включається сума за такими показниками: </w:t>
            </w:r>
            <w:r w:rsidRPr="005139FE">
              <w:rPr>
                <w:sz w:val="24"/>
                <w:szCs w:val="24"/>
                <w:lang w:eastAsia="uk-UA"/>
              </w:rPr>
              <w:t>A6</w:t>
            </w:r>
            <w:r w:rsidRPr="005139FE">
              <w:rPr>
                <w:sz w:val="24"/>
                <w:szCs w:val="24"/>
                <w:lang w:val="en-US" w:eastAsia="uk-UA"/>
              </w:rPr>
              <w:t>NC</w:t>
            </w:r>
            <w:r w:rsidRPr="005139FE">
              <w:rPr>
                <w:sz w:val="24"/>
                <w:szCs w:val="24"/>
                <w:lang w:eastAsia="uk-UA"/>
              </w:rPr>
              <w:t>005</w:t>
            </w:r>
            <w:r w:rsidRPr="00A15A1B">
              <w:rPr>
                <w:sz w:val="24"/>
                <w:szCs w:val="24"/>
                <w:lang w:eastAsia="uk-UA"/>
              </w:rPr>
              <w:t>- A6</w:t>
            </w:r>
            <w:r w:rsidRPr="00A15A1B">
              <w:rPr>
                <w:sz w:val="24"/>
                <w:szCs w:val="24"/>
                <w:lang w:val="en-US" w:eastAsia="uk-UA"/>
              </w:rPr>
              <w:t>NC</w:t>
            </w:r>
            <w:r w:rsidRPr="00A15A1B">
              <w:rPr>
                <w:sz w:val="24"/>
                <w:szCs w:val="24"/>
                <w:lang w:eastAsia="uk-UA"/>
              </w:rPr>
              <w:t>028.</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нефінансових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нефінансових організацій</w:t>
            </w:r>
            <w:r w:rsidR="00DB3466">
              <w:rPr>
                <w:sz w:val="24"/>
                <w:szCs w:val="24"/>
                <w:lang w:eastAsia="uk-UA"/>
              </w:rPr>
              <w:t>,</w:t>
            </w:r>
          </w:p>
        </w:tc>
      </w:tr>
      <w:tr w:rsidR="004B35BC" w:rsidRPr="00A15A1B" w:rsidTr="00B523D2">
        <w:trPr>
          <w:trHeight w:val="134"/>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b/>
                <w:sz w:val="24"/>
                <w:szCs w:val="24"/>
                <w:lang w:eastAsia="uk-UA"/>
              </w:rPr>
              <w:t xml:space="preserve"> </w:t>
            </w: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міжнародних банків розвитку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міжнародних банків розвитку</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отримані від інших міжнародних фінансових організацій</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кредити, отримані від інших міжнародних фінансових організацій</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A45B4">
            <w:pPr>
              <w:jc w:val="both"/>
              <w:rPr>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005</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8</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8</w:t>
            </w:r>
          </w:p>
        </w:tc>
        <w:tc>
          <w:tcPr>
            <w:tcW w:w="8280" w:type="dxa"/>
            <w:gridSpan w:val="2"/>
          </w:tcPr>
          <w:p w:rsidR="003325B3" w:rsidRPr="003325B3" w:rsidRDefault="003325B3" w:rsidP="003325B3">
            <w:pPr>
              <w:jc w:val="both"/>
              <w:rPr>
                <w:b/>
                <w:sz w:val="24"/>
                <w:szCs w:val="24"/>
                <w:lang w:val="en-US"/>
              </w:rPr>
            </w:pPr>
            <w:r w:rsidRPr="003325B3">
              <w:rPr>
                <w:b/>
                <w:sz w:val="24"/>
                <w:szCs w:val="24"/>
              </w:rPr>
              <w:t>Сума</w:t>
            </w:r>
            <w:r w:rsidRPr="003325B3">
              <w:rPr>
                <w:b/>
                <w:sz w:val="24"/>
                <w:szCs w:val="24"/>
                <w:lang w:val="en-US"/>
              </w:rPr>
              <w:t xml:space="preserve"> </w:t>
            </w:r>
            <w:r w:rsidRPr="003325B3">
              <w:rPr>
                <w:b/>
                <w:sz w:val="24"/>
                <w:szCs w:val="24"/>
              </w:rPr>
              <w:t>власних</w:t>
            </w:r>
            <w:r w:rsidRPr="003325B3">
              <w:rPr>
                <w:b/>
                <w:sz w:val="24"/>
                <w:szCs w:val="24"/>
                <w:lang w:val="en-US"/>
              </w:rPr>
              <w:t xml:space="preserve"> </w:t>
            </w:r>
            <w:r w:rsidRPr="003325B3">
              <w:rPr>
                <w:b/>
                <w:sz w:val="24"/>
                <w:szCs w:val="24"/>
              </w:rPr>
              <w:t>інструментів</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із</w:t>
            </w:r>
            <w:r w:rsidRPr="003325B3">
              <w:rPr>
                <w:b/>
                <w:sz w:val="24"/>
                <w:szCs w:val="24"/>
                <w:lang w:val="en-US"/>
              </w:rPr>
              <w:t xml:space="preserve"> </w:t>
            </w:r>
            <w:r w:rsidRPr="003325B3">
              <w:rPr>
                <w:b/>
                <w:sz w:val="24"/>
                <w:szCs w:val="24"/>
              </w:rPr>
              <w:t>залишковим</w:t>
            </w:r>
            <w:r w:rsidRPr="003325B3">
              <w:rPr>
                <w:b/>
                <w:sz w:val="24"/>
                <w:szCs w:val="24"/>
                <w:lang w:val="en-US"/>
              </w:rPr>
              <w:t xml:space="preserve"> </w:t>
            </w:r>
            <w:r w:rsidRPr="003325B3">
              <w:rPr>
                <w:b/>
                <w:sz w:val="24"/>
                <w:szCs w:val="24"/>
              </w:rPr>
              <w:t>строком</w:t>
            </w:r>
            <w:r w:rsidRPr="003325B3">
              <w:rPr>
                <w:b/>
                <w:sz w:val="24"/>
                <w:szCs w:val="24"/>
                <w:lang w:val="en-US"/>
              </w:rPr>
              <w:t xml:space="preserve"> </w:t>
            </w:r>
            <w:r w:rsidRPr="003325B3">
              <w:rPr>
                <w:b/>
                <w:sz w:val="24"/>
                <w:szCs w:val="24"/>
              </w:rPr>
              <w:t>погашення</w:t>
            </w:r>
            <w:r w:rsidRPr="003325B3">
              <w:rPr>
                <w:b/>
                <w:sz w:val="24"/>
                <w:szCs w:val="24"/>
                <w:lang w:val="en-US"/>
              </w:rPr>
              <w:t xml:space="preserve"> </w:t>
            </w:r>
            <w:r w:rsidRPr="003325B3">
              <w:rPr>
                <w:b/>
                <w:sz w:val="24"/>
                <w:szCs w:val="24"/>
              </w:rPr>
              <w:t>до</w:t>
            </w:r>
            <w:r w:rsidRPr="003325B3">
              <w:rPr>
                <w:b/>
                <w:sz w:val="24"/>
                <w:szCs w:val="24"/>
                <w:lang w:val="en-US"/>
              </w:rPr>
              <w:t xml:space="preserve"> 1 </w:t>
            </w:r>
            <w:r w:rsidRPr="003325B3">
              <w:rPr>
                <w:b/>
                <w:sz w:val="24"/>
                <w:szCs w:val="24"/>
              </w:rPr>
              <w:t>року</w:t>
            </w:r>
            <w:r w:rsidRPr="003325B3">
              <w:rPr>
                <w:b/>
                <w:sz w:val="24"/>
                <w:szCs w:val="24"/>
                <w:lang w:val="en-US"/>
              </w:rPr>
              <w:t xml:space="preserve">, </w:t>
            </w:r>
            <w:proofErr w:type="gramStart"/>
            <w:r>
              <w:rPr>
                <w:b/>
                <w:sz w:val="24"/>
                <w:szCs w:val="24"/>
                <w:lang w:val="uk-UA"/>
              </w:rPr>
              <w:t>на яку</w:t>
            </w:r>
            <w:proofErr w:type="gramEnd"/>
            <w:r>
              <w:rPr>
                <w:b/>
                <w:sz w:val="24"/>
                <w:szCs w:val="24"/>
                <w:lang w:val="uk-UA"/>
              </w:rPr>
              <w:t xml:space="preserve"> </w:t>
            </w:r>
            <w:r w:rsidRPr="003325B3">
              <w:rPr>
                <w:b/>
                <w:sz w:val="24"/>
                <w:szCs w:val="24"/>
              </w:rPr>
              <w:t>зменшуються</w:t>
            </w:r>
            <w:r w:rsidRPr="003325B3">
              <w:rPr>
                <w:b/>
                <w:sz w:val="24"/>
                <w:szCs w:val="24"/>
                <w:lang w:val="en-US"/>
              </w:rPr>
              <w:t xml:space="preserve"> </w:t>
            </w:r>
            <w:r w:rsidRPr="003325B3">
              <w:rPr>
                <w:b/>
                <w:sz w:val="24"/>
                <w:szCs w:val="24"/>
              </w:rPr>
              <w:t>складові</w:t>
            </w:r>
            <w:r w:rsidRPr="003325B3">
              <w:rPr>
                <w:b/>
                <w:sz w:val="24"/>
                <w:szCs w:val="24"/>
                <w:lang w:val="en-US"/>
              </w:rPr>
              <w:t xml:space="preserve"> </w:t>
            </w:r>
            <w:r w:rsidRPr="003325B3">
              <w:rPr>
                <w:b/>
                <w:sz w:val="24"/>
                <w:szCs w:val="24"/>
              </w:rPr>
              <w:t>капіталу</w:t>
            </w:r>
            <w:r w:rsidRPr="003325B3">
              <w:rPr>
                <w:b/>
                <w:sz w:val="24"/>
                <w:szCs w:val="24"/>
                <w:lang w:val="en-US"/>
              </w:rPr>
              <w:t xml:space="preserve"> </w:t>
            </w:r>
            <w:r w:rsidRPr="003325B3">
              <w:rPr>
                <w:b/>
                <w:sz w:val="24"/>
                <w:szCs w:val="24"/>
              </w:rPr>
              <w:t>під</w:t>
            </w:r>
            <w:r w:rsidRPr="003325B3">
              <w:rPr>
                <w:b/>
                <w:sz w:val="24"/>
                <w:szCs w:val="24"/>
                <w:lang w:val="en-US"/>
              </w:rPr>
              <w:t xml:space="preserve"> </w:t>
            </w:r>
            <w:r w:rsidRPr="003325B3">
              <w:rPr>
                <w:b/>
                <w:sz w:val="24"/>
                <w:szCs w:val="24"/>
              </w:rPr>
              <w:t>час</w:t>
            </w:r>
            <w:r w:rsidRPr="003325B3">
              <w:rPr>
                <w:b/>
                <w:sz w:val="24"/>
                <w:szCs w:val="24"/>
                <w:lang w:val="en-US"/>
              </w:rPr>
              <w:t xml:space="preserve"> </w:t>
            </w:r>
            <w:r w:rsidRPr="003325B3">
              <w:rPr>
                <w:b/>
                <w:sz w:val="24"/>
                <w:szCs w:val="24"/>
              </w:rPr>
              <w:t>розрахунку</w:t>
            </w:r>
            <w:r w:rsidRPr="003325B3">
              <w:rPr>
                <w:b/>
                <w:sz w:val="24"/>
                <w:szCs w:val="24"/>
                <w:lang w:val="en-US"/>
              </w:rPr>
              <w:t xml:space="preserve"> NSFR</w:t>
            </w:r>
            <w:r w:rsidRPr="003325B3">
              <w:rPr>
                <w:b/>
                <w:sz w:val="24"/>
                <w:szCs w:val="24"/>
              </w:rPr>
              <w:t>к</w:t>
            </w:r>
          </w:p>
          <w:p w:rsidR="004B35BC" w:rsidRPr="003325B3" w:rsidRDefault="003325B3" w:rsidP="003325B3">
            <w:pPr>
              <w:jc w:val="both"/>
              <w:rPr>
                <w:b/>
                <w:sz w:val="24"/>
                <w:szCs w:val="24"/>
                <w:lang w:val="uk-UA" w:eastAsia="uk-UA"/>
              </w:rPr>
            </w:pPr>
            <w:r w:rsidRPr="003325B3">
              <w:rPr>
                <w:sz w:val="24"/>
                <w:szCs w:val="24"/>
                <w:lang w:val="uk-UA"/>
              </w:rPr>
              <w:lastRenderedPageBreak/>
              <w:t>1. Показник є розрахунковим та визначається як сума (вартість) власних інструментів капіталу (включаючи власні інструменти у складі частки меншості) із залишко</w:t>
            </w:r>
            <w:r w:rsidRPr="003325B3">
              <w:rPr>
                <w:sz w:val="24"/>
                <w:szCs w:val="24"/>
                <w:lang w:val="uk-UA"/>
              </w:rPr>
              <w:softHyphen/>
              <w:t>вим строком погашення до 1 року, включених до регулятивного капіталу кредитно-інвестиційної підгрупи банківської групи згідно з вимогами Положення №</w:t>
            </w:r>
            <w:r w:rsidRPr="00264BAC">
              <w:rPr>
                <w:sz w:val="24"/>
                <w:szCs w:val="24"/>
                <w:lang w:val="en-US"/>
              </w:rPr>
              <w:t> </w:t>
            </w:r>
            <w:r w:rsidRPr="003325B3">
              <w:rPr>
                <w:sz w:val="24"/>
                <w:szCs w:val="24"/>
                <w:lang w:val="uk-UA"/>
              </w:rPr>
              <w:t>254.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00</w:t>
            </w:r>
            <w:r w:rsidRPr="00A15A1B">
              <w:rPr>
                <w:sz w:val="24"/>
                <w:szCs w:val="24"/>
                <w:lang w:val="en-US" w:eastAsia="uk-UA"/>
              </w:rPr>
              <w:t>9</w:t>
            </w:r>
          </w:p>
        </w:tc>
        <w:tc>
          <w:tcPr>
            <w:tcW w:w="8280" w:type="dxa"/>
            <w:gridSpan w:val="2"/>
          </w:tcPr>
          <w:p w:rsidR="003325B3" w:rsidRPr="003325B3" w:rsidRDefault="003325B3" w:rsidP="003325B3">
            <w:pPr>
              <w:jc w:val="both"/>
              <w:rPr>
                <w:b/>
                <w:sz w:val="24"/>
                <w:szCs w:val="24"/>
              </w:rPr>
            </w:pPr>
            <w:r w:rsidRPr="003325B3">
              <w:rPr>
                <w:b/>
                <w:sz w:val="24"/>
                <w:szCs w:val="24"/>
              </w:rPr>
              <w:t xml:space="preserve">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 </w:t>
            </w:r>
          </w:p>
          <w:p w:rsidR="004B35BC" w:rsidRPr="003325B3" w:rsidRDefault="003325B3" w:rsidP="003325B3">
            <w:pPr>
              <w:jc w:val="both"/>
              <w:rPr>
                <w:b/>
                <w:sz w:val="24"/>
                <w:szCs w:val="24"/>
                <w:lang w:eastAsia="uk-UA"/>
              </w:rPr>
            </w:pPr>
            <w:r w:rsidRPr="003325B3">
              <w:rPr>
                <w:sz w:val="24"/>
                <w:szCs w:val="24"/>
              </w:rPr>
              <w:t>1. Сума за складовою наявного стабільного фінансування – сума амортизації за власними інструментами капіталу із залишковим строком погашення від 1 до 4 років, яка не включається до розрахунку складових капіталу,</w:t>
            </w:r>
          </w:p>
        </w:tc>
      </w:tr>
      <w:tr w:rsidR="003325B3" w:rsidRPr="00A15A1B" w:rsidTr="00E0309B">
        <w:trPr>
          <w:trHeight w:val="562"/>
          <w:jc w:val="center"/>
        </w:trPr>
        <w:tc>
          <w:tcPr>
            <w:tcW w:w="506" w:type="dxa"/>
            <w:vMerge/>
          </w:tcPr>
          <w:p w:rsidR="003325B3" w:rsidRPr="00A15A1B" w:rsidRDefault="003325B3" w:rsidP="0030150A">
            <w:pPr>
              <w:jc w:val="center"/>
              <w:rPr>
                <w:sz w:val="24"/>
                <w:szCs w:val="24"/>
                <w:lang w:eastAsia="uk-UA"/>
              </w:rPr>
            </w:pPr>
          </w:p>
        </w:tc>
        <w:tc>
          <w:tcPr>
            <w:tcW w:w="1150" w:type="dxa"/>
            <w:vMerge/>
          </w:tcPr>
          <w:p w:rsidR="003325B3" w:rsidRPr="00A15A1B" w:rsidRDefault="003325B3" w:rsidP="0030150A">
            <w:pPr>
              <w:jc w:val="center"/>
              <w:rPr>
                <w:sz w:val="24"/>
                <w:szCs w:val="24"/>
                <w:lang w:eastAsia="uk-UA"/>
              </w:rPr>
            </w:pPr>
          </w:p>
        </w:tc>
        <w:tc>
          <w:tcPr>
            <w:tcW w:w="1263" w:type="dxa"/>
            <w:vMerge/>
          </w:tcPr>
          <w:p w:rsidR="003325B3" w:rsidRPr="00A15A1B" w:rsidRDefault="003325B3" w:rsidP="0030150A">
            <w:pPr>
              <w:jc w:val="center"/>
              <w:rPr>
                <w:sz w:val="24"/>
                <w:szCs w:val="24"/>
                <w:lang w:eastAsia="uk-UA"/>
              </w:rPr>
            </w:pPr>
          </w:p>
        </w:tc>
        <w:tc>
          <w:tcPr>
            <w:tcW w:w="3744" w:type="dxa"/>
          </w:tcPr>
          <w:p w:rsidR="003325B3" w:rsidRPr="00A15A1B" w:rsidRDefault="003325B3" w:rsidP="0030150A">
            <w:pPr>
              <w:jc w:val="both"/>
              <w:rPr>
                <w:b/>
                <w:sz w:val="24"/>
                <w:szCs w:val="24"/>
                <w:lang w:eastAsia="uk-UA"/>
              </w:rPr>
            </w:pPr>
            <w:r w:rsidRPr="00A15A1B">
              <w:rPr>
                <w:sz w:val="24"/>
                <w:szCs w:val="24"/>
                <w:lang w:eastAsia="uk-UA"/>
              </w:rPr>
              <w:t xml:space="preserve">з урахуванням: </w:t>
            </w:r>
          </w:p>
        </w:tc>
        <w:tc>
          <w:tcPr>
            <w:tcW w:w="4536" w:type="dxa"/>
          </w:tcPr>
          <w:p w:rsidR="003325B3" w:rsidRPr="003325B3" w:rsidRDefault="003325B3" w:rsidP="0030150A">
            <w:pPr>
              <w:jc w:val="both"/>
              <w:rPr>
                <w:b/>
                <w:sz w:val="24"/>
                <w:szCs w:val="24"/>
                <w:lang w:eastAsia="uk-UA"/>
              </w:rPr>
            </w:pPr>
            <w:r w:rsidRPr="003325B3">
              <w:rPr>
                <w:sz w:val="24"/>
                <w:szCs w:val="24"/>
              </w:rPr>
              <w:t>R020(GR=366)/T020(1,2)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w:t>
            </w:r>
            <w:r w:rsidRPr="00A15A1B">
              <w:rPr>
                <w:sz w:val="24"/>
                <w:szCs w:val="24"/>
                <w:lang w:val="en-US" w:eastAsia="uk-UA"/>
              </w:rPr>
              <w:t>10</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фізичних осіб)</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фізичних осіб),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R020(GR=368)/T020(1,2)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1</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суб’єктів господарювання та бюджетних установ)</w:t>
            </w:r>
          </w:p>
          <w:p w:rsidR="004B35BC" w:rsidRPr="003325B3" w:rsidRDefault="003325B3" w:rsidP="00E96D8E">
            <w:pPr>
              <w:jc w:val="both"/>
              <w:rPr>
                <w:b/>
                <w:sz w:val="24"/>
                <w:szCs w:val="24"/>
                <w:lang w:val="uk-UA" w:eastAsia="uk-UA"/>
              </w:rPr>
            </w:pPr>
            <w:r w:rsidRPr="003325B3">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СГД та бюджетних установ),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2</w:t>
            </w:r>
          </w:p>
        </w:tc>
        <w:tc>
          <w:tcPr>
            <w:tcW w:w="8280" w:type="dxa"/>
            <w:gridSpan w:val="2"/>
          </w:tcPr>
          <w:p w:rsidR="003325B3" w:rsidRPr="003325B3" w:rsidRDefault="003325B3" w:rsidP="003325B3">
            <w:pPr>
              <w:jc w:val="both"/>
              <w:rPr>
                <w:b/>
                <w:sz w:val="24"/>
                <w:szCs w:val="24"/>
              </w:rPr>
            </w:pPr>
            <w:r w:rsidRPr="003325B3">
              <w:rPr>
                <w:b/>
                <w:sz w:val="24"/>
                <w:szCs w:val="24"/>
              </w:rPr>
              <w:t>Сума власних інструментів капіталу із залишковим строком погашення до 1 року (кошти, залучені від міжнародних банків розвитку)</w:t>
            </w:r>
          </w:p>
          <w:p w:rsidR="004B35BC" w:rsidRPr="003325B3" w:rsidRDefault="003325B3" w:rsidP="00E96D8E">
            <w:pPr>
              <w:jc w:val="both"/>
              <w:rPr>
                <w:b/>
                <w:sz w:val="24"/>
                <w:szCs w:val="24"/>
                <w:lang w:val="uk-UA" w:eastAsia="uk-UA"/>
              </w:rPr>
            </w:pPr>
            <w:r w:rsidRPr="003325B3">
              <w:rPr>
                <w:sz w:val="24"/>
                <w:szCs w:val="24"/>
                <w:lang w:val="uk-UA"/>
              </w:rPr>
              <w:lastRenderedPageBreak/>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банків розвитку), за винятком інструментів, уключених до показників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059</w:t>
            </w:r>
            <w:r w:rsidRPr="003325B3">
              <w:rPr>
                <w:sz w:val="24"/>
                <w:szCs w:val="24"/>
                <w:lang w:val="uk-UA"/>
              </w:rPr>
              <w:t xml:space="preserve">, </w:t>
            </w:r>
            <w:r w:rsidRPr="003325B3">
              <w:rPr>
                <w:sz w:val="24"/>
                <w:szCs w:val="24"/>
              </w:rPr>
              <w:t>A</w:t>
            </w:r>
            <w:r w:rsidRPr="003325B3">
              <w:rPr>
                <w:sz w:val="24"/>
                <w:szCs w:val="24"/>
                <w:lang w:val="uk-UA"/>
              </w:rPr>
              <w:t>6</w:t>
            </w:r>
            <w:r w:rsidRPr="003325B3">
              <w:rPr>
                <w:sz w:val="24"/>
                <w:szCs w:val="24"/>
              </w:rPr>
              <w:t>N</w:t>
            </w:r>
            <w:r w:rsidR="00E96D8E">
              <w:rPr>
                <w:sz w:val="24"/>
                <w:szCs w:val="24"/>
                <w:lang w:val="en-US"/>
              </w:rPr>
              <w:t>C</w:t>
            </w:r>
            <w:r w:rsidR="00E96D8E">
              <w:rPr>
                <w:sz w:val="24"/>
                <w:szCs w:val="24"/>
              </w:rPr>
              <w:t>060</w:t>
            </w:r>
            <w:r w:rsidRPr="003325B3">
              <w:rPr>
                <w:sz w:val="24"/>
                <w:szCs w:val="24"/>
                <w:lang w:val="uk-UA"/>
              </w:rPr>
              <w:t xml:space="preserve">,  </w:t>
            </w:r>
          </w:p>
        </w:tc>
      </w:tr>
      <w:tr w:rsidR="004B35BC" w:rsidRPr="00A15A1B" w:rsidTr="00B523D2">
        <w:trPr>
          <w:jc w:val="center"/>
        </w:trPr>
        <w:tc>
          <w:tcPr>
            <w:tcW w:w="506" w:type="dxa"/>
            <w:vMerge/>
          </w:tcPr>
          <w:p w:rsidR="004B35BC" w:rsidRPr="003325B3" w:rsidRDefault="004B35BC" w:rsidP="0030150A">
            <w:pPr>
              <w:jc w:val="center"/>
              <w:rPr>
                <w:sz w:val="24"/>
                <w:szCs w:val="24"/>
                <w:lang w:val="uk-UA" w:eastAsia="uk-UA"/>
              </w:rPr>
            </w:pPr>
          </w:p>
        </w:tc>
        <w:tc>
          <w:tcPr>
            <w:tcW w:w="1150" w:type="dxa"/>
            <w:vMerge/>
          </w:tcPr>
          <w:p w:rsidR="004B35BC" w:rsidRPr="003325B3" w:rsidRDefault="004B35BC" w:rsidP="0030150A">
            <w:pPr>
              <w:jc w:val="center"/>
              <w:rPr>
                <w:sz w:val="24"/>
                <w:szCs w:val="24"/>
                <w:lang w:val="uk-UA" w:eastAsia="uk-UA"/>
              </w:rPr>
            </w:pPr>
          </w:p>
        </w:tc>
        <w:tc>
          <w:tcPr>
            <w:tcW w:w="1263" w:type="dxa"/>
            <w:vMerge/>
          </w:tcPr>
          <w:p w:rsidR="004B35BC" w:rsidRPr="003325B3"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3</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міжнародних нефінансових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міжнародних нефінансових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 xml:space="preserve">,  </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4</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інших міжнародних фінансових організацій)</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інших міжнародних фінансових організацій),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01</w:t>
            </w:r>
            <w:r w:rsidRPr="00A15A1B">
              <w:rPr>
                <w:sz w:val="24"/>
                <w:szCs w:val="24"/>
                <w:lang w:val="en-US" w:eastAsia="uk-UA"/>
              </w:rPr>
              <w:t>5</w:t>
            </w:r>
          </w:p>
        </w:tc>
        <w:tc>
          <w:tcPr>
            <w:tcW w:w="8280" w:type="dxa"/>
            <w:gridSpan w:val="2"/>
          </w:tcPr>
          <w:p w:rsidR="00E0309B" w:rsidRPr="00E0309B" w:rsidRDefault="00E0309B" w:rsidP="00E0309B">
            <w:pPr>
              <w:jc w:val="both"/>
              <w:rPr>
                <w:b/>
                <w:sz w:val="24"/>
                <w:szCs w:val="24"/>
              </w:rPr>
            </w:pPr>
            <w:r w:rsidRPr="00E0309B">
              <w:rPr>
                <w:b/>
                <w:sz w:val="24"/>
                <w:szCs w:val="24"/>
              </w:rPr>
              <w:t>Сума власних інструментів капіталу із залишковим строком погашення до 1 року (кошти, залучені від банків та небанківських фінансових установ)</w:t>
            </w:r>
          </w:p>
          <w:p w:rsidR="004B35BC" w:rsidRPr="00E0309B" w:rsidRDefault="00E0309B" w:rsidP="00E96D8E">
            <w:pPr>
              <w:jc w:val="both"/>
              <w:rPr>
                <w:b/>
                <w:sz w:val="24"/>
                <w:szCs w:val="24"/>
                <w:lang w:val="uk-UA" w:eastAsia="uk-UA"/>
              </w:rPr>
            </w:pPr>
            <w:r w:rsidRPr="00E0309B">
              <w:rPr>
                <w:sz w:val="24"/>
                <w:szCs w:val="24"/>
                <w:lang w:val="uk-UA"/>
              </w:rPr>
              <w:t xml:space="preserve">1. Сума за складовою наявного стабільного фінансування – сума власних інструментів капіталу із залишковим строком погашення до 1 року (кошти, залучені від банків та небанківських фінансових установ), за винятком інструментів, уключених до показників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r w:rsidR="00E96D8E">
              <w:rPr>
                <w:sz w:val="24"/>
                <w:szCs w:val="24"/>
              </w:rPr>
              <w:t>059</w:t>
            </w:r>
            <w:r w:rsidRPr="00E0309B">
              <w:rPr>
                <w:sz w:val="24"/>
                <w:szCs w:val="24"/>
                <w:lang w:val="uk-UA"/>
              </w:rPr>
              <w:t xml:space="preserve">, </w:t>
            </w:r>
            <w:r w:rsidRPr="00E0309B">
              <w:rPr>
                <w:sz w:val="24"/>
                <w:szCs w:val="24"/>
              </w:rPr>
              <w:t>A</w:t>
            </w:r>
            <w:r w:rsidRPr="00E0309B">
              <w:rPr>
                <w:sz w:val="24"/>
                <w:szCs w:val="24"/>
                <w:lang w:val="uk-UA"/>
              </w:rPr>
              <w:t>6</w:t>
            </w:r>
            <w:r w:rsidRPr="00E0309B">
              <w:rPr>
                <w:sz w:val="24"/>
                <w:szCs w:val="24"/>
              </w:rPr>
              <w:t>N</w:t>
            </w:r>
            <w:r w:rsidR="00B44534">
              <w:rPr>
                <w:sz w:val="24"/>
                <w:szCs w:val="24"/>
                <w:lang w:val="en-US"/>
              </w:rPr>
              <w:t>C</w:t>
            </w:r>
            <w:bookmarkStart w:id="0" w:name="_GoBack"/>
            <w:bookmarkEnd w:id="0"/>
            <w:r w:rsidR="00E96D8E">
              <w:rPr>
                <w:sz w:val="24"/>
                <w:szCs w:val="24"/>
              </w:rPr>
              <w:t>060</w:t>
            </w:r>
            <w:r w:rsidRPr="00E0309B">
              <w:rPr>
                <w:sz w:val="24"/>
                <w:szCs w:val="24"/>
                <w:lang w:val="uk-UA"/>
              </w:rPr>
              <w:t>,</w:t>
            </w:r>
          </w:p>
        </w:tc>
      </w:tr>
      <w:tr w:rsidR="004B35BC" w:rsidRPr="00A15A1B" w:rsidTr="00B523D2">
        <w:trPr>
          <w:jc w:val="center"/>
        </w:trPr>
        <w:tc>
          <w:tcPr>
            <w:tcW w:w="506" w:type="dxa"/>
            <w:vMerge/>
          </w:tcPr>
          <w:p w:rsidR="004B35BC" w:rsidRPr="00E0309B" w:rsidRDefault="004B35BC" w:rsidP="0030150A">
            <w:pPr>
              <w:jc w:val="center"/>
              <w:rPr>
                <w:sz w:val="24"/>
                <w:szCs w:val="24"/>
                <w:lang w:val="uk-UA" w:eastAsia="uk-UA"/>
              </w:rPr>
            </w:pPr>
          </w:p>
        </w:tc>
        <w:tc>
          <w:tcPr>
            <w:tcW w:w="1150" w:type="dxa"/>
            <w:vMerge/>
          </w:tcPr>
          <w:p w:rsidR="004B35BC" w:rsidRPr="00E0309B" w:rsidRDefault="004B35BC" w:rsidP="0030150A">
            <w:pPr>
              <w:jc w:val="center"/>
              <w:rPr>
                <w:sz w:val="24"/>
                <w:szCs w:val="24"/>
                <w:lang w:val="uk-UA" w:eastAsia="uk-UA"/>
              </w:rPr>
            </w:pPr>
          </w:p>
        </w:tc>
        <w:tc>
          <w:tcPr>
            <w:tcW w:w="1263" w:type="dxa"/>
            <w:vMerge/>
          </w:tcPr>
          <w:p w:rsidR="004B35BC" w:rsidRPr="00E0309B" w:rsidRDefault="004B35BC" w:rsidP="0030150A">
            <w:pPr>
              <w:jc w:val="center"/>
              <w:rPr>
                <w:sz w:val="24"/>
                <w:szCs w:val="24"/>
                <w:lang w:val="uk-UA"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балансових рахунків, зазначених в показнику A6</w:t>
            </w:r>
            <w:r w:rsidRPr="00A15A1B">
              <w:rPr>
                <w:sz w:val="24"/>
                <w:szCs w:val="24"/>
                <w:lang w:val="en-US" w:eastAsia="uk-UA"/>
              </w:rPr>
              <w:t>NC</w:t>
            </w:r>
            <w:r w:rsidRPr="00A15A1B">
              <w:rPr>
                <w:sz w:val="24"/>
                <w:szCs w:val="24"/>
                <w:lang w:eastAsia="uk-UA"/>
              </w:rPr>
              <w:t>010</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фізичних осіб</w:t>
            </w:r>
          </w:p>
          <w:p w:rsidR="004B35BC" w:rsidRPr="00A15A1B" w:rsidRDefault="004B35BC" w:rsidP="0030150A">
            <w:pPr>
              <w:jc w:val="both"/>
              <w:rPr>
                <w:b/>
                <w:sz w:val="24"/>
                <w:szCs w:val="24"/>
                <w:lang w:eastAsia="uk-UA"/>
              </w:rPr>
            </w:pPr>
            <w:r w:rsidRPr="00A15A1B">
              <w:rPr>
                <w:sz w:val="24"/>
                <w:szCs w:val="24"/>
                <w:lang w:eastAsia="uk-UA"/>
              </w:rPr>
              <w:lastRenderedPageBreak/>
              <w:t>1. Сума за складовою наявного стабільного фінансування – кошти фізичних осіб</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 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R020(2942)/T020(2)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суб’єктів господарювання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СГД</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бюджетних установ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бюджетних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R020(GR=257)/T020(2)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19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019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небанківських фінансових установ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небанківських фінансових установ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R020(2952)/T020(2)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w:t>
            </w:r>
            <w:r w:rsidRPr="00A15A1B">
              <w:rPr>
                <w:sz w:val="24"/>
                <w:szCs w:val="24"/>
                <w:lang w:val="en-US" w:eastAsia="uk-UA"/>
              </w:rPr>
              <w:t>GR=</w:t>
            </w:r>
            <w:r w:rsidRPr="00A15A1B">
              <w:rPr>
                <w:sz w:val="24"/>
                <w:szCs w:val="24"/>
                <w:lang w:eastAsia="uk-UA"/>
              </w:rPr>
              <w:t>270)/T020(</w:t>
            </w:r>
            <w:r w:rsidRPr="00A15A1B">
              <w:rPr>
                <w:sz w:val="24"/>
                <w:szCs w:val="24"/>
                <w:lang w:val="en-US" w:eastAsia="uk-UA"/>
              </w:rPr>
              <w:t>1,</w:t>
            </w:r>
            <w:r w:rsidRPr="00A15A1B">
              <w:rPr>
                <w:sz w:val="24"/>
                <w:szCs w:val="24"/>
                <w:lang w:eastAsia="uk-UA"/>
              </w:rPr>
              <w:t>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Національного банку</w:t>
            </w:r>
            <w:r w:rsidR="00DB346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R020(1922)/T020(2)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інших банків</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кошти інших банків</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R020(GR=161)/T020(1,2)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R020(1932)/T020(2)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власного боргу, крім ощадних сертифікатів</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наявного стабільного фінансування – цінні папери власного боргу, крім ощадних сертифікатів,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та з урахуванням:</w:t>
            </w:r>
          </w:p>
        </w:tc>
        <w:tc>
          <w:tcPr>
            <w:tcW w:w="4536" w:type="dxa"/>
          </w:tcPr>
          <w:p w:rsidR="004B35BC" w:rsidRPr="00A15A1B" w:rsidRDefault="004B35BC" w:rsidP="00DB3466">
            <w:pPr>
              <w:jc w:val="both"/>
              <w:rPr>
                <w:b/>
                <w:sz w:val="24"/>
                <w:szCs w:val="24"/>
                <w:lang w:eastAsia="uk-UA"/>
              </w:rPr>
            </w:pPr>
            <w:r w:rsidRPr="00A15A1B">
              <w:rPr>
                <w:sz w:val="24"/>
                <w:szCs w:val="24"/>
                <w:lang w:eastAsia="uk-UA"/>
              </w:rPr>
              <w:t>R020(3661)/T020(2)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23</w:t>
            </w:r>
          </w:p>
        </w:tc>
        <w:tc>
          <w:tcPr>
            <w:tcW w:w="1150"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Ощадні сертифікати</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фінансування – ощадні сертифікати</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R020(GR=332)/T020(1,2)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R020(GR=333)/T020(1,2)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суб’єктами господарювання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СГД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R020(2618)/T020(2)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 Національним банком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з Національного банку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R020(GR=132)/T020(1,2)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w:t>
            </w:r>
            <w:r w:rsidRPr="00A15A1B">
              <w:rPr>
                <w:sz w:val="24"/>
                <w:szCs w:val="24"/>
                <w:lang w:val="en-US" w:eastAsia="uk-UA"/>
              </w:rPr>
              <w:t>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репо з банками (забезпечене фінансування)</w:t>
            </w:r>
          </w:p>
          <w:p w:rsidR="004B35BC" w:rsidRPr="00A15A1B" w:rsidRDefault="004B35BC" w:rsidP="0030150A">
            <w:pPr>
              <w:jc w:val="both"/>
              <w:rPr>
                <w:b/>
                <w:sz w:val="24"/>
                <w:szCs w:val="24"/>
                <w:lang w:eastAsia="uk-UA"/>
              </w:rPr>
            </w:pPr>
            <w:r w:rsidRPr="00A15A1B">
              <w:rPr>
                <w:sz w:val="24"/>
                <w:szCs w:val="24"/>
                <w:lang w:eastAsia="uk-UA"/>
              </w:rPr>
              <w:t>1. Сума за складовою наявного стабільного забезпеченого фінансування –  операції репо з банками (забезпечене фінансування)</w:t>
            </w:r>
            <w:r w:rsidR="00DB346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R020(1628)/T020(2)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R020(1912)/T020(2)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27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ASF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eastAsia="uk-UA"/>
              </w:rPr>
              <w:t>A6</w:t>
            </w:r>
            <w:r w:rsidRPr="00A15A1B">
              <w:rPr>
                <w:sz w:val="24"/>
                <w:szCs w:val="24"/>
                <w:lang w:val="en-US" w:eastAsia="uk-UA"/>
              </w:rPr>
              <w:t>NC</w:t>
            </w:r>
            <w:r w:rsidRPr="00A15A1B">
              <w:rPr>
                <w:sz w:val="24"/>
                <w:szCs w:val="24"/>
                <w:lang w:eastAsia="uk-UA"/>
              </w:rPr>
              <w:t>027</w:t>
            </w:r>
          </w:p>
        </w:tc>
        <w:tc>
          <w:tcPr>
            <w:tcW w:w="8280" w:type="dxa"/>
            <w:gridSpan w:val="2"/>
          </w:tcPr>
          <w:p w:rsidR="004B35BC" w:rsidRPr="004B35BC" w:rsidRDefault="004B35BC" w:rsidP="0030150A">
            <w:pPr>
              <w:jc w:val="both"/>
              <w:rPr>
                <w:b/>
                <w:sz w:val="24"/>
                <w:szCs w:val="24"/>
                <w:lang w:val="en-US" w:eastAsia="uk-UA"/>
              </w:rPr>
            </w:pPr>
            <w:r w:rsidRPr="00A15A1B">
              <w:rPr>
                <w:b/>
                <w:sz w:val="24"/>
                <w:szCs w:val="24"/>
                <w:lang w:eastAsia="uk-UA"/>
              </w:rPr>
              <w:t>Усі</w:t>
            </w:r>
            <w:r w:rsidRPr="004B35BC">
              <w:rPr>
                <w:b/>
                <w:sz w:val="24"/>
                <w:szCs w:val="24"/>
                <w:lang w:val="en-US" w:eastAsia="uk-UA"/>
              </w:rPr>
              <w:t xml:space="preserve"> </w:t>
            </w:r>
            <w:r w:rsidRPr="00A15A1B">
              <w:rPr>
                <w:b/>
                <w:sz w:val="24"/>
                <w:szCs w:val="24"/>
                <w:lang w:eastAsia="uk-UA"/>
              </w:rPr>
              <w:t>інші</w:t>
            </w:r>
            <w:r w:rsidRPr="004B35BC">
              <w:rPr>
                <w:b/>
                <w:sz w:val="24"/>
                <w:szCs w:val="24"/>
                <w:lang w:val="en-US" w:eastAsia="uk-UA"/>
              </w:rPr>
              <w:t xml:space="preserve"> </w:t>
            </w:r>
            <w:r w:rsidRPr="00A15A1B">
              <w:rPr>
                <w:b/>
                <w:sz w:val="24"/>
                <w:szCs w:val="24"/>
                <w:lang w:eastAsia="uk-UA"/>
              </w:rPr>
              <w:t>зобов</w:t>
            </w:r>
            <w:r w:rsidRPr="004B35BC">
              <w:rPr>
                <w:b/>
                <w:sz w:val="24"/>
                <w:szCs w:val="24"/>
                <w:lang w:val="en-US" w:eastAsia="uk-UA"/>
              </w:rPr>
              <w:t>'</w:t>
            </w:r>
            <w:r w:rsidRPr="00A15A1B">
              <w:rPr>
                <w:b/>
                <w:sz w:val="24"/>
                <w:szCs w:val="24"/>
                <w:lang w:eastAsia="uk-UA"/>
              </w:rPr>
              <w:t>язання</w:t>
            </w:r>
          </w:p>
          <w:p w:rsidR="004B35BC" w:rsidRPr="00245A86" w:rsidRDefault="004B35BC" w:rsidP="0030150A">
            <w:pPr>
              <w:jc w:val="both"/>
              <w:rPr>
                <w:b/>
                <w:sz w:val="24"/>
                <w:szCs w:val="24"/>
                <w:lang w:val="en-US" w:eastAsia="uk-UA"/>
              </w:rPr>
            </w:pPr>
            <w:r w:rsidRPr="00245A86">
              <w:rPr>
                <w:sz w:val="24"/>
                <w:szCs w:val="24"/>
                <w:lang w:val="en-US" w:eastAsia="uk-UA"/>
              </w:rPr>
              <w:t xml:space="preserve">1. </w:t>
            </w:r>
            <w:r w:rsidRPr="00A15A1B">
              <w:rPr>
                <w:sz w:val="24"/>
                <w:szCs w:val="24"/>
                <w:lang w:eastAsia="uk-UA"/>
              </w:rPr>
              <w:t>Сума</w:t>
            </w:r>
            <w:r w:rsidRPr="00245A86">
              <w:rPr>
                <w:sz w:val="24"/>
                <w:szCs w:val="24"/>
                <w:lang w:val="en-US" w:eastAsia="uk-UA"/>
              </w:rPr>
              <w:t xml:space="preserve"> </w:t>
            </w:r>
            <w:r w:rsidRPr="00A15A1B">
              <w:rPr>
                <w:sz w:val="24"/>
                <w:szCs w:val="24"/>
                <w:lang w:eastAsia="uk-UA"/>
              </w:rPr>
              <w:t>за</w:t>
            </w:r>
            <w:r w:rsidRPr="00245A86">
              <w:rPr>
                <w:sz w:val="24"/>
                <w:szCs w:val="24"/>
                <w:lang w:val="en-US" w:eastAsia="uk-UA"/>
              </w:rPr>
              <w:t xml:space="preserve"> </w:t>
            </w:r>
            <w:r w:rsidRPr="00A15A1B">
              <w:rPr>
                <w:sz w:val="24"/>
                <w:szCs w:val="24"/>
                <w:lang w:eastAsia="uk-UA"/>
              </w:rPr>
              <w:t>складовою</w:t>
            </w:r>
            <w:r w:rsidRPr="00245A86">
              <w:rPr>
                <w:sz w:val="24"/>
                <w:szCs w:val="24"/>
                <w:lang w:val="en-US" w:eastAsia="uk-UA"/>
              </w:rPr>
              <w:t xml:space="preserve"> </w:t>
            </w:r>
            <w:r w:rsidRPr="00A15A1B">
              <w:rPr>
                <w:sz w:val="24"/>
                <w:szCs w:val="24"/>
                <w:lang w:eastAsia="uk-UA"/>
              </w:rPr>
              <w:t>наявного</w:t>
            </w:r>
            <w:r w:rsidRPr="00245A86">
              <w:rPr>
                <w:sz w:val="24"/>
                <w:szCs w:val="24"/>
                <w:lang w:val="en-US" w:eastAsia="uk-UA"/>
              </w:rPr>
              <w:t xml:space="preserve"> </w:t>
            </w:r>
            <w:r w:rsidRPr="00A15A1B">
              <w:rPr>
                <w:sz w:val="24"/>
                <w:szCs w:val="24"/>
                <w:lang w:eastAsia="uk-UA"/>
              </w:rPr>
              <w:t>стабільного</w:t>
            </w:r>
            <w:r w:rsidRPr="00245A86">
              <w:rPr>
                <w:sz w:val="24"/>
                <w:szCs w:val="24"/>
                <w:lang w:val="en-US" w:eastAsia="uk-UA"/>
              </w:rPr>
              <w:t xml:space="preserve"> </w:t>
            </w:r>
            <w:r w:rsidRPr="00A15A1B">
              <w:rPr>
                <w:sz w:val="24"/>
                <w:szCs w:val="24"/>
                <w:lang w:eastAsia="uk-UA"/>
              </w:rPr>
              <w:t>фінансування</w:t>
            </w:r>
            <w:r w:rsidRPr="00245A86">
              <w:rPr>
                <w:sz w:val="24"/>
                <w:szCs w:val="24"/>
                <w:lang w:val="en-US" w:eastAsia="uk-UA"/>
              </w:rPr>
              <w:t xml:space="preserve"> – </w:t>
            </w:r>
            <w:r w:rsidRPr="00A15A1B">
              <w:rPr>
                <w:sz w:val="24"/>
                <w:szCs w:val="24"/>
                <w:lang w:eastAsia="uk-UA"/>
              </w:rPr>
              <w:t>усі</w:t>
            </w:r>
            <w:r w:rsidRPr="00245A86">
              <w:rPr>
                <w:sz w:val="24"/>
                <w:szCs w:val="24"/>
                <w:lang w:val="en-US" w:eastAsia="uk-UA"/>
              </w:rPr>
              <w:t xml:space="preserve">  </w:t>
            </w:r>
            <w:r w:rsidRPr="00A15A1B">
              <w:rPr>
                <w:sz w:val="24"/>
                <w:szCs w:val="24"/>
                <w:lang w:eastAsia="uk-UA"/>
              </w:rPr>
              <w:t>інші</w:t>
            </w:r>
            <w:r w:rsidRPr="00245A86">
              <w:rPr>
                <w:sz w:val="24"/>
                <w:szCs w:val="24"/>
                <w:lang w:val="en-US" w:eastAsia="uk-UA"/>
              </w:rPr>
              <w:t xml:space="preserve"> </w:t>
            </w:r>
            <w:r w:rsidRPr="00A15A1B">
              <w:rPr>
                <w:sz w:val="24"/>
                <w:szCs w:val="24"/>
                <w:lang w:eastAsia="uk-UA"/>
              </w:rPr>
              <w:t>зобов</w:t>
            </w:r>
            <w:r w:rsidRPr="00245A86">
              <w:rPr>
                <w:sz w:val="24"/>
                <w:szCs w:val="24"/>
                <w:lang w:val="en-US" w:eastAsia="uk-UA"/>
              </w:rPr>
              <w:t>'</w:t>
            </w:r>
            <w:r w:rsidRPr="00A15A1B">
              <w:rPr>
                <w:sz w:val="24"/>
                <w:szCs w:val="24"/>
                <w:lang w:eastAsia="uk-UA"/>
              </w:rPr>
              <w:t>язання</w:t>
            </w:r>
            <w:r w:rsidR="00DB3466" w:rsidRPr="00245A86">
              <w:rPr>
                <w:sz w:val="24"/>
                <w:szCs w:val="24"/>
                <w:lang w:val="en-US" w:eastAsia="uk-UA"/>
              </w:rPr>
              <w:t>,</w:t>
            </w:r>
          </w:p>
        </w:tc>
      </w:tr>
      <w:tr w:rsidR="004B35BC" w:rsidRPr="00A15A1B" w:rsidTr="00B523D2">
        <w:trPr>
          <w:jc w:val="center"/>
        </w:trPr>
        <w:tc>
          <w:tcPr>
            <w:tcW w:w="506" w:type="dxa"/>
            <w:vMerge/>
          </w:tcPr>
          <w:p w:rsidR="004B35BC" w:rsidRPr="00245A86" w:rsidRDefault="004B35BC" w:rsidP="0030150A">
            <w:pPr>
              <w:jc w:val="center"/>
              <w:rPr>
                <w:sz w:val="24"/>
                <w:szCs w:val="24"/>
                <w:lang w:val="en-US" w:eastAsia="uk-UA"/>
              </w:rPr>
            </w:pPr>
          </w:p>
        </w:tc>
        <w:tc>
          <w:tcPr>
            <w:tcW w:w="1150" w:type="dxa"/>
            <w:vMerge/>
          </w:tcPr>
          <w:p w:rsidR="004B35BC" w:rsidRPr="00245A86" w:rsidRDefault="004B35BC" w:rsidP="0030150A">
            <w:pPr>
              <w:jc w:val="center"/>
              <w:rPr>
                <w:sz w:val="24"/>
                <w:szCs w:val="24"/>
                <w:lang w:val="en-US" w:eastAsia="uk-UA"/>
              </w:rPr>
            </w:pPr>
          </w:p>
        </w:tc>
        <w:tc>
          <w:tcPr>
            <w:tcW w:w="1263" w:type="dxa"/>
            <w:vMerge/>
          </w:tcPr>
          <w:p w:rsidR="004B35BC" w:rsidRPr="00245A86" w:rsidRDefault="004B35BC" w:rsidP="0030150A">
            <w:pPr>
              <w:jc w:val="center"/>
              <w:rPr>
                <w:sz w:val="24"/>
                <w:szCs w:val="24"/>
                <w:lang w:val="en-US"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R020(1919)/T020(2)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R020(3631)/T020(2)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R020(3720)/T020(2)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R020(5108)/T020(2)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R020(5200)/T020(2)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R020(5300)/T020(2)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R020(GR=903)/T020(2)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R020(9041)/T020(2)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R020(GR=911)/T020(2)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R020(9210)/T020(2)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R020(9310)/T020(2)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DB3466">
            <w:pPr>
              <w:jc w:val="both"/>
              <w:rPr>
                <w:b/>
                <w:sz w:val="24"/>
                <w:szCs w:val="24"/>
                <w:lang w:eastAsia="uk-UA"/>
              </w:rPr>
            </w:pPr>
            <w:r w:rsidRPr="00A15A1B">
              <w:rPr>
                <w:sz w:val="24"/>
                <w:szCs w:val="24"/>
                <w:lang w:eastAsia="uk-UA"/>
              </w:rPr>
              <w:t>R020(9360)/T020(2)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28</w:t>
            </w:r>
          </w:p>
        </w:tc>
        <w:tc>
          <w:tcPr>
            <w:tcW w:w="1150" w:type="dxa"/>
          </w:tcPr>
          <w:p w:rsidR="004B35BC" w:rsidRPr="00A15A1B" w:rsidRDefault="004B35BC" w:rsidP="0030150A">
            <w:pPr>
              <w:jc w:val="center"/>
              <w:rPr>
                <w:sz w:val="24"/>
                <w:szCs w:val="24"/>
                <w:lang w:val="en-US" w:eastAsia="uk-UA"/>
              </w:rPr>
            </w:pPr>
            <w:r w:rsidRPr="00A15A1B">
              <w:rPr>
                <w:sz w:val="24"/>
                <w:szCs w:val="24"/>
                <w:lang w:val="en-US" w:eastAsia="uk-UA"/>
              </w:rPr>
              <w:t>ASF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Обсяг наявного стабільного фінансування (ASF)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наявного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ASF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наявного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028 не заповнюється, а наявне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005-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027.</w:t>
            </w:r>
          </w:p>
        </w:tc>
      </w:tr>
      <w:tr w:rsidR="004B35BC" w:rsidRPr="00A15A1B" w:rsidTr="00B523D2">
        <w:trPr>
          <w:trHeight w:val="702"/>
          <w:jc w:val="center"/>
        </w:trPr>
        <w:tc>
          <w:tcPr>
            <w:tcW w:w="506" w:type="dxa"/>
          </w:tcPr>
          <w:p w:rsidR="004B35BC" w:rsidRPr="00D56F1F" w:rsidRDefault="00D56F1F" w:rsidP="0030150A">
            <w:pPr>
              <w:jc w:val="center"/>
              <w:rPr>
                <w:sz w:val="24"/>
                <w:szCs w:val="24"/>
                <w:lang w:eastAsia="uk-UA"/>
              </w:rPr>
            </w:pPr>
            <w:r w:rsidRPr="00D56F1F">
              <w:rPr>
                <w:sz w:val="24"/>
                <w:szCs w:val="24"/>
                <w:lang w:eastAsia="uk-UA"/>
              </w:rPr>
              <w:t>29</w:t>
            </w:r>
          </w:p>
        </w:tc>
        <w:tc>
          <w:tcPr>
            <w:tcW w:w="1150" w:type="dxa"/>
          </w:tcPr>
          <w:p w:rsidR="004B35BC" w:rsidRPr="00A15A1B" w:rsidRDefault="004B35BC" w:rsidP="0030150A">
            <w:pPr>
              <w:jc w:val="center"/>
              <w:rPr>
                <w:strike/>
                <w:sz w:val="24"/>
                <w:szCs w:val="24"/>
                <w:lang w:val="en-US" w:eastAsia="uk-UA"/>
              </w:rPr>
            </w:pPr>
            <w:r w:rsidRPr="00A15A1B">
              <w:rPr>
                <w:sz w:val="24"/>
                <w:szCs w:val="24"/>
                <w:lang w:val="en-US" w:eastAsia="uk-UA"/>
              </w:rPr>
              <w:t>RSF</w:t>
            </w:r>
          </w:p>
        </w:tc>
        <w:tc>
          <w:tcPr>
            <w:tcW w:w="1263" w:type="dxa"/>
          </w:tcPr>
          <w:p w:rsidR="004B35BC" w:rsidRPr="00A15A1B" w:rsidRDefault="004B35BC" w:rsidP="0030150A">
            <w:pPr>
              <w:jc w:val="center"/>
              <w:rPr>
                <w:strike/>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029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w:t>
            </w:r>
            <w:r w:rsidRPr="00A15A1B">
              <w:rPr>
                <w:sz w:val="24"/>
                <w:szCs w:val="24"/>
                <w:lang w:eastAsia="uk-UA"/>
              </w:rPr>
              <w:t xml:space="preserve"> </w:t>
            </w:r>
            <w:r w:rsidRPr="00A15A1B">
              <w:rPr>
                <w:b/>
                <w:sz w:val="24"/>
                <w:szCs w:val="24"/>
                <w:lang w:eastAsia="uk-UA"/>
              </w:rPr>
              <w:t>стабільного фінансування (RSF)</w:t>
            </w:r>
          </w:p>
          <w:p w:rsidR="004B35BC" w:rsidRPr="00A15A1B" w:rsidRDefault="004B35BC" w:rsidP="0030150A">
            <w:pPr>
              <w:jc w:val="both"/>
              <w:rPr>
                <w:sz w:val="24"/>
                <w:szCs w:val="24"/>
                <w:lang w:eastAsia="uk-UA"/>
              </w:rPr>
            </w:pPr>
            <w:r w:rsidRPr="00A15A1B">
              <w:rPr>
                <w:sz w:val="24"/>
                <w:szCs w:val="24"/>
                <w:lang w:eastAsia="uk-UA"/>
              </w:rPr>
              <w:t>1. Показник розраховується відповідно до глави 5 розділу ІІІ Положення № 254 та розділу ІV Методики №</w:t>
            </w:r>
            <w:r w:rsidRPr="00A15A1B">
              <w:rPr>
                <w:sz w:val="24"/>
                <w:szCs w:val="24"/>
                <w:lang w:val="en-US" w:eastAsia="uk-UA"/>
              </w:rPr>
              <w:t> </w:t>
            </w:r>
            <w:r w:rsidRPr="00A15A1B">
              <w:rPr>
                <w:sz w:val="24"/>
                <w:szCs w:val="24"/>
                <w:lang w:eastAsia="uk-UA"/>
              </w:rPr>
              <w:t>1001 та включає суму всіх складових необхідного стабільного фінансування (RSF), зважених на відповідні коефіцієнти RSF, визначені в таблицях 1-3 додатку 2 до Методики № 1001.</w:t>
            </w:r>
          </w:p>
          <w:p w:rsidR="004B35BC" w:rsidRPr="00A15A1B" w:rsidRDefault="004B35BC" w:rsidP="0030150A">
            <w:pPr>
              <w:jc w:val="both"/>
              <w:rPr>
                <w:sz w:val="24"/>
                <w:szCs w:val="24"/>
                <w:lang w:eastAsia="uk-UA"/>
              </w:rPr>
            </w:pPr>
            <w:r w:rsidRPr="00A15A1B">
              <w:rPr>
                <w:sz w:val="24"/>
                <w:szCs w:val="24"/>
                <w:lang w:eastAsia="uk-UA"/>
              </w:rPr>
              <w:t xml:space="preserve">2. До показника включається сума за такими показниками: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030-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6F71CA">
              <w:rPr>
                <w:sz w:val="24"/>
                <w:szCs w:val="24"/>
                <w:lang w:eastAsia="uk-UA"/>
              </w:rPr>
              <w:t>58</w:t>
            </w:r>
            <w:r w:rsidRPr="00A15A1B">
              <w:rPr>
                <w:sz w:val="24"/>
                <w:szCs w:val="24"/>
                <w:lang w:eastAsia="uk-UA"/>
              </w:rPr>
              <w:t>.</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Банкноти та монети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банкноти та монети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R020(1090)/T020(2)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Банківські метали</w:t>
            </w:r>
          </w:p>
          <w:p w:rsidR="004B35BC" w:rsidRPr="00A15A1B" w:rsidRDefault="004B35BC" w:rsidP="008708CC">
            <w:pPr>
              <w:jc w:val="both"/>
              <w:rPr>
                <w:b/>
                <w:sz w:val="24"/>
                <w:szCs w:val="24"/>
                <w:lang w:eastAsia="uk-UA"/>
              </w:rPr>
            </w:pPr>
            <w:r w:rsidRPr="00A15A1B">
              <w:rPr>
                <w:sz w:val="24"/>
                <w:szCs w:val="24"/>
                <w:lang w:eastAsia="uk-UA"/>
              </w:rPr>
              <w:t>1. Сума за складовою необхідного стабільного фінансування – банківські метали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R020(1190)/T020(2)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Національному банку та депозитні сертифікати Національного банку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Національному банку та  депозитні сертифікати Національного банку</w:t>
            </w:r>
            <w:r w:rsidR="008708CC">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R020(GR=144)/T020(1,2)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w:t>
            </w:r>
            <w:r w:rsidRPr="00A15A1B">
              <w:rPr>
                <w:sz w:val="24"/>
                <w:szCs w:val="24"/>
                <w:lang w:val="en-US"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Цінні папери, які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цінні папери, які є ВЛА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w:t>
            </w:r>
            <w:r w:rsidRPr="00A15A1B">
              <w:rPr>
                <w:sz w:val="24"/>
                <w:szCs w:val="24"/>
                <w:lang w:val="en-US" w:eastAsia="uk-UA"/>
              </w:rPr>
              <w:t>3</w:t>
            </w:r>
            <w:r w:rsidRPr="00A15A1B">
              <w:rPr>
                <w:sz w:val="24"/>
                <w:szCs w:val="24"/>
                <w:lang w:eastAsia="uk-UA"/>
              </w:rPr>
              <w:t>)/T020(1)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R020(3219)/T020(2)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R020(9500)/T020(1)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 xml:space="preserve">Транзитні та клірингові рахунки за операціями з клієнтами </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транзитні та клірингові рахунки за операціями з клієнтами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R020(3705)/T020(1)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R020(3706)/T020(1)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R020(3710)/T020(1)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R020(3739)/T020(1).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Національним банком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Національним банком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R020(1216)/T020(1,2)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R020(1218)/T020(1)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Вимоги за операціями факторингу</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вимоги за операціями факторингу</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R020(2049)/T020(2)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Якщо за операціями факторингу залишко</w:t>
            </w:r>
            <w:r w:rsidRPr="00A15A1B">
              <w:rPr>
                <w:sz w:val="24"/>
                <w:szCs w:val="24"/>
                <w:lang w:eastAsia="uk-UA"/>
              </w:rPr>
              <w:softHyphen/>
              <w:t xml:space="preserve">вий строк погашення набуває значення параметра S242=1 (на вимогу), такі операції включаються до розрахунку </w:t>
            </w:r>
            <w:r w:rsidRPr="00A15A1B">
              <w:rPr>
                <w:sz w:val="24"/>
                <w:szCs w:val="24"/>
                <w:lang w:val="en-US" w:eastAsia="uk-UA"/>
              </w:rPr>
              <w:t>R</w:t>
            </w:r>
            <w:r w:rsidRPr="00A15A1B">
              <w:rPr>
                <w:sz w:val="24"/>
                <w:szCs w:val="24"/>
                <w:lang w:eastAsia="uk-UA"/>
              </w:rPr>
              <w:t>SF з коефіцієнтом, визначеним в таблиці 1 додатку 2 до Методики № 1001 для операцій із залишковим строком погашення до 6 місяців.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37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35% та менше</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35% та менше</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R020(GR=238)/T020(1,2)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R020(2397)/T020(1,2)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R020(2398)/T020(1)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R020(GR=242)/T020(1,2)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R020(GR=244)/T020(1,2)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R020(2659)/T020(2)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R020(3568)/T020(1)</w:t>
            </w:r>
          </w:p>
        </w:tc>
      </w:tr>
      <w:tr w:rsidR="004B35BC" w:rsidRPr="00A15A1B" w:rsidTr="00B523D2">
        <w:trPr>
          <w:trHeight w:val="31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R020(3569)/T020(2)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Кредити, надані клієнтам (крім банків), зі ступенем ризику активів більше ніж 35%</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кредити, надані клієнтам (крім банків), зі ступенем ризику активів більше ніж 35%</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39</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39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Боргові цінні папери,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боргові цінні папери,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R020(1429)/T020(2)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R020(3018)/T020(1)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R020(3119)/T020(2)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R020(GR=321)/T020(1,2)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Акції, які пройшли процедуру лістингу на фондовій біржі</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акції, які пройшли процедуру лістингу на фондовій біржі</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R020(GR=300)/T020(1,2)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R020(GR=310)/T020(1,2)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операції зворотного репо з банками, забезпечені  ВЛА,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lastRenderedPageBreak/>
              <w:t>42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зворотного репо з банками, забезпечені активами, які не є високоякісними ліквідними активами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зворотного репо з банками, забезпечені активами, які не є ВЛА</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8708CC">
            <w:pPr>
              <w:jc w:val="both"/>
              <w:rPr>
                <w:sz w:val="24"/>
                <w:szCs w:val="24"/>
                <w:lang w:eastAsia="uk-UA"/>
              </w:rPr>
            </w:pPr>
            <w:r w:rsidRPr="00A15A1B">
              <w:rPr>
                <w:sz w:val="24"/>
                <w:szCs w:val="24"/>
                <w:lang w:eastAsia="uk-UA"/>
              </w:rPr>
              <w:t xml:space="preserve">балансових рахунків, зазначених в показнику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w:t>
            </w:r>
            <w:r>
              <w:rPr>
                <w:sz w:val="24"/>
                <w:szCs w:val="24"/>
                <w:lang w:eastAsia="uk-UA"/>
              </w:rPr>
              <w:t>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Кошти в інших банках</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кошти в інших банках</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R020(GR=151)/T020(1,2)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R020(1529)/T020(2)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R020(1538)/T020(1)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R020(1545)/T020(1,2)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R020(1546)/T020(1,2)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R020(1549)/T020(2)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R020(1832)/T020(1)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R020(1839)/T020(2)</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Усі інші активи</w:t>
            </w:r>
          </w:p>
          <w:p w:rsidR="004B35BC" w:rsidRPr="00A15A1B" w:rsidRDefault="004B35BC" w:rsidP="005D5186">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усі інші активи,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055,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r w:rsidR="005D5186">
              <w:rPr>
                <w:sz w:val="24"/>
                <w:szCs w:val="24"/>
                <w:lang w:val="uk-UA"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val="en-US" w:eastAsia="uk-UA"/>
              </w:rPr>
            </w:pPr>
            <w:r w:rsidRPr="00A15A1B">
              <w:rPr>
                <w:sz w:val="24"/>
                <w:szCs w:val="24"/>
                <w:lang w:eastAsia="uk-UA"/>
              </w:rPr>
              <w:t>з урахуванням:</w:t>
            </w:r>
          </w:p>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R020(GR=101)/T020(1)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R020(GR=181)/T020(1)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R020(1890)/T020(2)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R020(GR=204)/T020(1,2)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R020(GR=214)/T020(1,2)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R020(GR=224)/T020(1,2)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R020(GR=280)/T020(1)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R020(2890)/T020(2)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R020(GR=340)/T020(1)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R020(3548)/T020(1)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R020(3500)/T020(1)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R020(GR=355)/T020(1)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R020(GR=359)/T020(2)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R020(4321)/T020(1)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R020(GR=441)/T020(1,2)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R020(GR=443)/T020(1)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R020(GR=450)/T020(1,2)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R020(4530)/T020(1)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R020(4609)/T020(2)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R020(5011)/T020(1)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R020(5104)/T020(1)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R020(5106)/T020(1)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R020(5107)/T020(1)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4</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Операції, пов'язані з торговим фінансуванням</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операції, пов'язані з торговим фінансуванням</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до отримання за спотовими контрактами (за операціями з облігаціями внутрішньої державної позики та валютними операціями, крім операцій з банківськими металами)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до отримання за спотовими контрактами (за операціями з ОВДП та валютними операціями, крім операцій з банківськими металами)</w:t>
            </w:r>
            <w:r w:rsidR="008708CC">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R020(9350)/T020(1)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val="en-US"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5D5186">
            <w:pPr>
              <w:jc w:val="both"/>
              <w:rPr>
                <w:b/>
                <w:sz w:val="24"/>
                <w:szCs w:val="24"/>
                <w:lang w:eastAsia="uk-UA"/>
              </w:rPr>
            </w:pPr>
            <w:r w:rsidRPr="00A15A1B">
              <w:rPr>
                <w:sz w:val="24"/>
                <w:szCs w:val="24"/>
                <w:lang w:eastAsia="uk-UA"/>
              </w:rPr>
              <w:t>R020(9200)/T020(1)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8280" w:type="dxa"/>
            <w:gridSpan w:val="2"/>
          </w:tcPr>
          <w:p w:rsidR="004B35BC" w:rsidRPr="00A15A1B" w:rsidRDefault="004B35BC" w:rsidP="0030150A">
            <w:pPr>
              <w:jc w:val="both"/>
              <w:rPr>
                <w:b/>
                <w:sz w:val="24"/>
                <w:szCs w:val="24"/>
                <w:lang w:eastAsia="uk-UA"/>
              </w:rPr>
            </w:pPr>
            <w:r w:rsidRPr="00A15A1B">
              <w:rPr>
                <w:sz w:val="24"/>
                <w:szCs w:val="24"/>
                <w:lang w:eastAsia="uk-UA"/>
              </w:rPr>
              <w:t>2. До показника включається сума операцій, строк яких не перевищує двох робочих днів.</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безвідкличні позабалансові зобов'язання</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безвідкличні позабалансові зобов'язання, які не включені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045 та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046,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R020(GR=369)/T020(2)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R020(GR=900)/T020(1)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R020(9122)/T020(1)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R020(9129)/T020(1)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30150A">
            <w:pPr>
              <w:jc w:val="both"/>
              <w:rPr>
                <w:b/>
                <w:sz w:val="24"/>
                <w:szCs w:val="24"/>
                <w:lang w:eastAsia="uk-UA"/>
              </w:rPr>
            </w:pPr>
            <w:r w:rsidRPr="00A15A1B">
              <w:rPr>
                <w:sz w:val="24"/>
                <w:szCs w:val="24"/>
                <w:lang w:eastAsia="uk-UA"/>
              </w:rPr>
              <w:t>R020(9300)/T020(1)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8708CC">
            <w:pPr>
              <w:jc w:val="both"/>
              <w:rPr>
                <w:sz w:val="24"/>
                <w:szCs w:val="24"/>
                <w:lang w:eastAsia="uk-UA"/>
              </w:rPr>
            </w:pPr>
            <w:r w:rsidRPr="00A15A1B">
              <w:rPr>
                <w:sz w:val="24"/>
                <w:szCs w:val="24"/>
                <w:lang w:eastAsia="uk-UA"/>
              </w:rPr>
              <w:t>R020(9350)/T020(1)</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48</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позабалансові зобов'язання, які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складовою необхідного стабільного фінансування – інші позабалансові зобов'язання, які не відповідають вимогам щодо повністю працюючих,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 у разі, якщо вони не відповідають вимогам щодо повністю працюючих.</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49</w:t>
            </w:r>
          </w:p>
        </w:tc>
        <w:tc>
          <w:tcPr>
            <w:tcW w:w="1150" w:type="dxa"/>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049</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розміщені як початкова та додаткова маржа за операціями з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активи, розміщені як початкова та додаткова маржа за операціями з деривативами (без урахування операцій з біржовими деривативами за дорученням клієнтів) визначається з урахуванням вимог Інструкції з бухгалтерського обліку операцій з похідними фінансовими інструментами в банках України, затвердженої постановою Правління Національного банку України від 26.12.2018  № 153 (зі змінами).</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50</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0</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Депозитні сертифікати Національного банку,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депозитні сертифікати Національного банку, які відповідають характеристикам та вимогам до ВЛА, але є 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30150A">
            <w:pPr>
              <w:jc w:val="both"/>
              <w:rPr>
                <w:sz w:val="24"/>
                <w:szCs w:val="24"/>
                <w:lang w:eastAsia="uk-UA"/>
              </w:rPr>
            </w:pPr>
            <w:r w:rsidRPr="00A15A1B">
              <w:rPr>
                <w:sz w:val="24"/>
                <w:szCs w:val="24"/>
                <w:lang w:eastAsia="uk-UA"/>
              </w:rPr>
              <w:t>R020(GR=143)/T020(1,2)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R020(GR=144)/T020(1,2)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sz w:val="24"/>
                <w:szCs w:val="24"/>
                <w:lang w:eastAsia="uk-UA"/>
              </w:rPr>
            </w:pPr>
          </w:p>
        </w:tc>
        <w:tc>
          <w:tcPr>
            <w:tcW w:w="4536" w:type="dxa"/>
          </w:tcPr>
          <w:p w:rsidR="004B35BC" w:rsidRPr="00A15A1B" w:rsidRDefault="004B35BC" w:rsidP="0030150A">
            <w:pPr>
              <w:jc w:val="both"/>
              <w:rPr>
                <w:sz w:val="24"/>
                <w:szCs w:val="24"/>
                <w:lang w:eastAsia="uk-UA"/>
              </w:rPr>
            </w:pPr>
            <w:r w:rsidRPr="00A15A1B">
              <w:rPr>
                <w:sz w:val="24"/>
                <w:szCs w:val="24"/>
                <w:lang w:eastAsia="uk-UA"/>
              </w:rPr>
              <w:t>R020(GR=145)/T020(1,2)</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51</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245A86">
              <w:rPr>
                <w:sz w:val="24"/>
                <w:szCs w:val="24"/>
                <w:lang w:val="en-US" w:eastAsia="uk-UA"/>
              </w:rPr>
              <w:t>A</w:t>
            </w:r>
            <w:r w:rsidRPr="00245A86">
              <w:rPr>
                <w:sz w:val="24"/>
                <w:szCs w:val="24"/>
                <w:lang w:eastAsia="uk-UA"/>
              </w:rPr>
              <w:t>6N</w:t>
            </w:r>
            <w:r w:rsidRPr="00245A86">
              <w:rPr>
                <w:sz w:val="24"/>
                <w:szCs w:val="24"/>
                <w:lang w:val="en-US" w:eastAsia="uk-UA"/>
              </w:rPr>
              <w:t>C</w:t>
            </w:r>
            <w:r w:rsidRPr="00245A86">
              <w:rPr>
                <w:sz w:val="24"/>
                <w:szCs w:val="24"/>
                <w:lang w:eastAsia="uk-UA"/>
              </w:rPr>
              <w:t>0</w:t>
            </w:r>
            <w:r w:rsidRPr="00245A86">
              <w:rPr>
                <w:sz w:val="24"/>
                <w:szCs w:val="24"/>
                <w:lang w:val="en-US" w:eastAsia="uk-UA"/>
              </w:rPr>
              <w:t>5</w:t>
            </w:r>
            <w:r w:rsidRPr="00245A86">
              <w:rPr>
                <w:sz w:val="24"/>
                <w:szCs w:val="24"/>
                <w:lang w:eastAsia="uk-UA"/>
              </w:rPr>
              <w:t>1</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Інші цінні папери, які відповідають характеристикам та вимогам до високоякісних ліквідних активів, але є обтяженими</w:t>
            </w:r>
          </w:p>
          <w:p w:rsidR="004B35BC" w:rsidRPr="00A15A1B" w:rsidRDefault="004B35BC" w:rsidP="0030150A">
            <w:pPr>
              <w:jc w:val="both"/>
              <w:rPr>
                <w:b/>
                <w:sz w:val="24"/>
                <w:szCs w:val="24"/>
                <w:lang w:eastAsia="uk-UA"/>
              </w:rPr>
            </w:pPr>
            <w:r w:rsidRPr="00A15A1B">
              <w:rPr>
                <w:sz w:val="24"/>
                <w:szCs w:val="24"/>
                <w:lang w:eastAsia="uk-UA"/>
              </w:rPr>
              <w:lastRenderedPageBreak/>
              <w:t>1. Сума за складовою необхідного стабільного фінансування – інші цінні папери, які відповідають характеристикам та вимогам до ВЛА, але є обтяженими</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245A86">
            <w:pPr>
              <w:jc w:val="both"/>
              <w:rPr>
                <w:sz w:val="24"/>
                <w:szCs w:val="24"/>
                <w:lang w:eastAsia="uk-UA"/>
              </w:rPr>
            </w:pPr>
            <w:r w:rsidRPr="00A15A1B">
              <w:rPr>
                <w:sz w:val="24"/>
                <w:szCs w:val="24"/>
                <w:lang w:eastAsia="uk-UA"/>
              </w:rPr>
              <w:t>балансових рахунків, які використовуються для формування показник</w:t>
            </w:r>
            <w:r w:rsidR="00245A86">
              <w:rPr>
                <w:sz w:val="24"/>
                <w:szCs w:val="24"/>
                <w:lang w:eastAsia="uk-UA"/>
              </w:rPr>
              <w:t>а</w:t>
            </w:r>
            <w:r w:rsidRPr="00A15A1B">
              <w:rPr>
                <w:sz w:val="24"/>
                <w:szCs w:val="24"/>
                <w:lang w:eastAsia="uk-UA"/>
              </w:rPr>
              <w:t xml:space="preserve">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033</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52</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2</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невизначений строк та до яких застосовується коефіцієнт RSF 50%</w:t>
            </w:r>
          </w:p>
          <w:p w:rsidR="004B35BC" w:rsidRPr="00A15A1B" w:rsidRDefault="004B35BC" w:rsidP="0030150A">
            <w:pPr>
              <w:jc w:val="both"/>
              <w:rPr>
                <w:b/>
                <w:sz w:val="24"/>
                <w:szCs w:val="24"/>
                <w:lang w:eastAsia="uk-UA"/>
              </w:rPr>
            </w:pPr>
            <w:r w:rsidRPr="00A15A1B">
              <w:rPr>
                <w:sz w:val="24"/>
                <w:szCs w:val="24"/>
                <w:lang w:eastAsia="uk-UA"/>
              </w:rPr>
              <w:t xml:space="preserve">1. Сума за складовими необхідного стабільного фінансування – активи, які є обтяженими на невизначений строк (крім гарантійних депозитів учасників платіжних систем), з урахуванням  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trHeight w:val="848"/>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 урахуванням:</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r w:rsidR="00B430C6">
              <w:rPr>
                <w:sz w:val="24"/>
                <w:szCs w:val="24"/>
                <w:lang w:eastAsia="uk-UA"/>
              </w:rPr>
              <w:t>.</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2. До показника включаються активи у разі, якщо до них застосовується коефіцієнт RSF 50% згідно з таблицею 2 додатку 2 до Методики № 1001.</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8280" w:type="dxa"/>
            <w:gridSpan w:val="2"/>
          </w:tcPr>
          <w:p w:rsidR="004B35BC" w:rsidRPr="00A15A1B" w:rsidRDefault="004B35BC" w:rsidP="0030150A">
            <w:pPr>
              <w:jc w:val="both"/>
              <w:rPr>
                <w:sz w:val="24"/>
                <w:szCs w:val="24"/>
                <w:lang w:eastAsia="uk-UA"/>
              </w:rPr>
            </w:pPr>
            <w:r w:rsidRPr="00A15A1B">
              <w:rPr>
                <w:sz w:val="24"/>
                <w:szCs w:val="24"/>
                <w:lang w:eastAsia="uk-UA"/>
              </w:rPr>
              <w:t xml:space="preserve">3. Активи, що є обтяженими на невизначений строк, до яких застосовуються коефіцієнти RSF як до аналогічних активів, що є необтяженими,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032,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034-</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045-</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047.</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53</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3</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є обтяженими на період більше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trHeight w:val="56"/>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B430C6">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54</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B430C6" w:rsidRDefault="004B35BC" w:rsidP="0030150A">
            <w:pPr>
              <w:jc w:val="center"/>
              <w:rPr>
                <w:color w:val="FF0000"/>
                <w:sz w:val="24"/>
                <w:szCs w:val="24"/>
                <w:lang w:eastAsia="uk-UA"/>
              </w:rPr>
            </w:pPr>
            <w:r w:rsidRPr="00B430C6">
              <w:rPr>
                <w:sz w:val="24"/>
                <w:szCs w:val="24"/>
                <w:lang w:val="en-US" w:eastAsia="uk-UA"/>
              </w:rPr>
              <w:t>A</w:t>
            </w:r>
            <w:r w:rsidRPr="00B430C6">
              <w:rPr>
                <w:sz w:val="24"/>
                <w:szCs w:val="24"/>
                <w:lang w:eastAsia="uk-UA"/>
              </w:rPr>
              <w:t>6N</w:t>
            </w:r>
            <w:r w:rsidRPr="00B430C6">
              <w:rPr>
                <w:sz w:val="24"/>
                <w:szCs w:val="24"/>
                <w:lang w:val="en-US" w:eastAsia="uk-UA"/>
              </w:rPr>
              <w:t>C</w:t>
            </w:r>
            <w:r w:rsidRPr="00B430C6">
              <w:rPr>
                <w:sz w:val="24"/>
                <w:szCs w:val="24"/>
                <w:lang w:eastAsia="uk-UA"/>
              </w:rPr>
              <w:t>0</w:t>
            </w:r>
            <w:r w:rsidRPr="00B430C6">
              <w:rPr>
                <w:sz w:val="24"/>
                <w:szCs w:val="24"/>
                <w:lang w:val="en-US" w:eastAsia="uk-UA"/>
              </w:rPr>
              <w:t>5</w:t>
            </w:r>
            <w:r w:rsidRPr="00B430C6">
              <w:rPr>
                <w:sz w:val="24"/>
                <w:szCs w:val="24"/>
                <w:lang w:eastAsia="uk-UA"/>
              </w:rPr>
              <w:t>4</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є обтяженими на період більше 1 року та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lastRenderedPageBreak/>
              <w:t>1. Сума за складовими необхідного стабільного фінансування – активи, які є обтяженими на період більше 1 року та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043, </w:t>
            </w:r>
            <w:r w:rsidRPr="00B430C6">
              <w:rPr>
                <w:sz w:val="24"/>
                <w:szCs w:val="24"/>
                <w:lang w:eastAsia="uk-UA"/>
              </w:rPr>
              <w:t>та</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за балансовими рахунками:</w:t>
            </w:r>
          </w:p>
        </w:tc>
        <w:tc>
          <w:tcPr>
            <w:tcW w:w="4536" w:type="dxa"/>
          </w:tcPr>
          <w:p w:rsidR="004B35BC" w:rsidRPr="00A15A1B" w:rsidRDefault="004B35BC" w:rsidP="00B430C6">
            <w:pPr>
              <w:jc w:val="both"/>
              <w:rPr>
                <w:b/>
                <w:sz w:val="24"/>
                <w:szCs w:val="24"/>
                <w:lang w:eastAsia="uk-UA"/>
              </w:rPr>
            </w:pPr>
            <w:r w:rsidRPr="00A15A1B">
              <w:rPr>
                <w:sz w:val="24"/>
                <w:szCs w:val="24"/>
                <w:lang w:eastAsia="uk-UA"/>
              </w:rPr>
              <w:t>R020(3542)/T020(1)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55</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sidRPr="00A15A1B">
              <w:rPr>
                <w:sz w:val="24"/>
                <w:szCs w:val="24"/>
                <w:lang w:val="en-US" w:eastAsia="uk-UA"/>
              </w:rPr>
              <w:t>5</w:t>
            </w:r>
            <w:r w:rsidRPr="00A15A1B">
              <w:rPr>
                <w:sz w:val="24"/>
                <w:szCs w:val="24"/>
                <w:lang w:eastAsia="uk-UA"/>
              </w:rPr>
              <w:t>5</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Активи, які не є обтяженими або є обтяженими на період до 1 року та не відповідають вимогам щодо повністю працюючих</w:t>
            </w:r>
          </w:p>
          <w:p w:rsidR="004B35BC" w:rsidRPr="00A15A1B" w:rsidRDefault="004B35BC" w:rsidP="0030150A">
            <w:pPr>
              <w:jc w:val="both"/>
              <w:rPr>
                <w:b/>
                <w:sz w:val="24"/>
                <w:szCs w:val="24"/>
                <w:lang w:eastAsia="uk-UA"/>
              </w:rPr>
            </w:pPr>
            <w:r w:rsidRPr="00A15A1B">
              <w:rPr>
                <w:sz w:val="24"/>
                <w:szCs w:val="24"/>
                <w:lang w:eastAsia="uk-UA"/>
              </w:rPr>
              <w:t>1. Сума за складовими необхідного стабільного фінансування – активи, які  не є обтяженими або є обтяженими на період до 1 року та не відповідають вимогам щодо повністю працюючих</w:t>
            </w:r>
            <w:r w:rsidR="00B430C6">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tcPr>
          <w:p w:rsidR="004B35BC" w:rsidRPr="00A15A1B" w:rsidRDefault="004B35BC" w:rsidP="0030150A">
            <w:pPr>
              <w:jc w:val="both"/>
              <w:rPr>
                <w:b/>
                <w:sz w:val="24"/>
                <w:szCs w:val="24"/>
                <w:lang w:eastAsia="uk-UA"/>
              </w:rPr>
            </w:pPr>
            <w:r w:rsidRPr="00A15A1B">
              <w:rPr>
                <w:sz w:val="24"/>
                <w:szCs w:val="24"/>
                <w:lang w:eastAsia="uk-UA"/>
              </w:rPr>
              <w:t xml:space="preserve">з урахуванням:  </w:t>
            </w:r>
          </w:p>
        </w:tc>
        <w:tc>
          <w:tcPr>
            <w:tcW w:w="4536" w:type="dxa"/>
          </w:tcPr>
          <w:p w:rsidR="004B35BC" w:rsidRPr="00A15A1B" w:rsidRDefault="004B35BC" w:rsidP="0030150A">
            <w:pPr>
              <w:jc w:val="both"/>
              <w:rPr>
                <w:sz w:val="24"/>
                <w:szCs w:val="24"/>
                <w:lang w:eastAsia="uk-UA"/>
              </w:rPr>
            </w:pPr>
            <w:r w:rsidRPr="00A15A1B">
              <w:rPr>
                <w:sz w:val="24"/>
                <w:szCs w:val="24"/>
                <w:lang w:eastAsia="uk-UA"/>
              </w:rPr>
              <w:t xml:space="preserve">балансових рахунків, які використовуються для формування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032-</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044.</w:t>
            </w:r>
          </w:p>
        </w:tc>
      </w:tr>
      <w:tr w:rsidR="004B35BC" w:rsidRPr="00A15A1B" w:rsidTr="00B523D2">
        <w:trPr>
          <w:jc w:val="center"/>
        </w:trPr>
        <w:tc>
          <w:tcPr>
            <w:tcW w:w="506" w:type="dxa"/>
            <w:vMerge w:val="restart"/>
          </w:tcPr>
          <w:p w:rsidR="004B35BC" w:rsidRPr="00A15A1B" w:rsidRDefault="00D56F1F" w:rsidP="0030150A">
            <w:pPr>
              <w:jc w:val="center"/>
              <w:rPr>
                <w:sz w:val="24"/>
                <w:szCs w:val="24"/>
                <w:lang w:eastAsia="uk-UA"/>
              </w:rPr>
            </w:pPr>
            <w:r>
              <w:rPr>
                <w:sz w:val="24"/>
                <w:szCs w:val="24"/>
                <w:lang w:eastAsia="uk-UA"/>
              </w:rPr>
              <w:t>56</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056</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позитивного результату переоцінки (актив) за деривативами</w:t>
            </w:r>
          </w:p>
          <w:p w:rsidR="004B35BC" w:rsidRPr="00A15A1B" w:rsidRDefault="004B35BC" w:rsidP="0030150A">
            <w:pPr>
              <w:jc w:val="both"/>
              <w:rPr>
                <w:b/>
                <w:sz w:val="24"/>
                <w:szCs w:val="24"/>
                <w:lang w:eastAsia="uk-UA"/>
              </w:rPr>
            </w:pPr>
            <w:r w:rsidRPr="00A15A1B">
              <w:rPr>
                <w:sz w:val="24"/>
                <w:szCs w:val="24"/>
                <w:lang w:eastAsia="uk-UA"/>
              </w:rPr>
              <w:t>1. Сума для розрахунку складової необхідного стабільного фінансування – загальна сума позитивного результату переоцінки (актив)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 xml:space="preserve">R020(GR=304)/T020(1)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highlight w:val="lightGray"/>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R020(GR=314)/T020(1)</w:t>
            </w:r>
          </w:p>
        </w:tc>
      </w:tr>
      <w:tr w:rsidR="004B35BC" w:rsidRPr="00A15A1B" w:rsidTr="00B523D2">
        <w:trPr>
          <w:jc w:val="center"/>
        </w:trPr>
        <w:tc>
          <w:tcPr>
            <w:tcW w:w="506" w:type="dxa"/>
            <w:vMerge w:val="restart"/>
          </w:tcPr>
          <w:p w:rsidR="004B35BC" w:rsidRPr="00D56F1F" w:rsidRDefault="00D56F1F" w:rsidP="0030150A">
            <w:pPr>
              <w:jc w:val="center"/>
              <w:rPr>
                <w:sz w:val="24"/>
                <w:szCs w:val="24"/>
                <w:lang w:val="uk-UA" w:eastAsia="uk-UA"/>
              </w:rPr>
            </w:pPr>
            <w:r>
              <w:rPr>
                <w:sz w:val="24"/>
                <w:szCs w:val="24"/>
                <w:lang w:val="uk-UA" w:eastAsia="uk-UA"/>
              </w:rPr>
              <w:t>57</w:t>
            </w:r>
          </w:p>
        </w:tc>
        <w:tc>
          <w:tcPr>
            <w:tcW w:w="1150" w:type="dxa"/>
            <w:vMerge w:val="restart"/>
          </w:tcPr>
          <w:p w:rsidR="004B35BC" w:rsidRPr="00A15A1B" w:rsidRDefault="004B35BC" w:rsidP="0030150A">
            <w:pPr>
              <w:jc w:val="center"/>
              <w:rPr>
                <w:sz w:val="24"/>
                <w:szCs w:val="24"/>
                <w:lang w:eastAsia="uk-UA"/>
              </w:rPr>
            </w:pPr>
            <w:r w:rsidRPr="00A15A1B">
              <w:rPr>
                <w:sz w:val="24"/>
                <w:szCs w:val="24"/>
                <w:lang w:val="en-US" w:eastAsia="uk-UA"/>
              </w:rPr>
              <w:t>RSF</w:t>
            </w:r>
          </w:p>
        </w:tc>
        <w:tc>
          <w:tcPr>
            <w:tcW w:w="1263" w:type="dxa"/>
            <w:vMerge w:val="restart"/>
          </w:tcPr>
          <w:p w:rsidR="004B35BC" w:rsidRPr="00A15A1B" w:rsidRDefault="004B35BC" w:rsidP="0030150A">
            <w:pPr>
              <w:jc w:val="center"/>
              <w:rPr>
                <w:sz w:val="24"/>
                <w:szCs w:val="24"/>
                <w:highlight w:val="lightGray"/>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Загальна сума від’ємого результату переоцінки (зобов'язання) за деривативами</w:t>
            </w:r>
          </w:p>
          <w:p w:rsidR="004B35BC" w:rsidRPr="00A15A1B" w:rsidRDefault="004B35BC" w:rsidP="0030150A">
            <w:pPr>
              <w:jc w:val="both"/>
              <w:rPr>
                <w:b/>
                <w:sz w:val="24"/>
                <w:szCs w:val="24"/>
                <w:lang w:eastAsia="uk-UA"/>
              </w:rPr>
            </w:pPr>
            <w:r w:rsidRPr="00A15A1B">
              <w:rPr>
                <w:sz w:val="24"/>
                <w:szCs w:val="24"/>
                <w:lang w:eastAsia="uk-UA"/>
              </w:rPr>
              <w:t>1. Сума за складовою  необхідного стабільного фінансування – загальна сума від'ємного результату переоцінки (зобов'язання) за деривативами</w:t>
            </w:r>
            <w:r w:rsidR="007F2484">
              <w:rPr>
                <w:sz w:val="24"/>
                <w:szCs w:val="24"/>
                <w:lang w:eastAsia="uk-UA"/>
              </w:rPr>
              <w:t>,</w:t>
            </w:r>
            <w:r w:rsidRPr="00A15A1B">
              <w:rPr>
                <w:sz w:val="24"/>
                <w:szCs w:val="24"/>
                <w:lang w:eastAsia="uk-UA"/>
              </w:rPr>
              <w:t xml:space="preserve"> </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val="restart"/>
          </w:tcPr>
          <w:p w:rsidR="004B35BC" w:rsidRPr="00A15A1B" w:rsidRDefault="004B35BC" w:rsidP="0030150A">
            <w:pPr>
              <w:jc w:val="both"/>
              <w:rPr>
                <w:b/>
                <w:sz w:val="24"/>
                <w:szCs w:val="24"/>
                <w:lang w:eastAsia="uk-UA"/>
              </w:rPr>
            </w:pPr>
            <w:r w:rsidRPr="00A15A1B">
              <w:rPr>
                <w:sz w:val="24"/>
                <w:szCs w:val="24"/>
                <w:lang w:eastAsia="uk-UA"/>
              </w:rPr>
              <w:t xml:space="preserve">за балансовими рахунками: </w:t>
            </w:r>
          </w:p>
        </w:tc>
        <w:tc>
          <w:tcPr>
            <w:tcW w:w="4536" w:type="dxa"/>
          </w:tcPr>
          <w:p w:rsidR="004B35BC" w:rsidRPr="00A15A1B" w:rsidRDefault="004B35BC" w:rsidP="0030150A">
            <w:pPr>
              <w:jc w:val="both"/>
              <w:rPr>
                <w:b/>
                <w:sz w:val="24"/>
                <w:szCs w:val="24"/>
                <w:lang w:eastAsia="uk-UA"/>
              </w:rPr>
            </w:pPr>
            <w:r w:rsidRPr="00A15A1B">
              <w:rPr>
                <w:sz w:val="24"/>
                <w:szCs w:val="24"/>
                <w:lang w:eastAsia="uk-UA"/>
              </w:rPr>
              <w:t>R020(GR=335)/T020(2)</w:t>
            </w:r>
          </w:p>
        </w:tc>
      </w:tr>
      <w:tr w:rsidR="004B35BC" w:rsidRPr="00A15A1B" w:rsidTr="00B523D2">
        <w:trPr>
          <w:jc w:val="center"/>
        </w:trPr>
        <w:tc>
          <w:tcPr>
            <w:tcW w:w="506" w:type="dxa"/>
            <w:vMerge/>
          </w:tcPr>
          <w:p w:rsidR="004B35BC" w:rsidRPr="00A15A1B" w:rsidRDefault="004B35BC" w:rsidP="0030150A">
            <w:pPr>
              <w:jc w:val="center"/>
              <w:rPr>
                <w:sz w:val="24"/>
                <w:szCs w:val="24"/>
                <w:lang w:eastAsia="uk-UA"/>
              </w:rPr>
            </w:pPr>
          </w:p>
        </w:tc>
        <w:tc>
          <w:tcPr>
            <w:tcW w:w="1150" w:type="dxa"/>
            <w:vMerge/>
          </w:tcPr>
          <w:p w:rsidR="004B35BC" w:rsidRPr="00A15A1B" w:rsidRDefault="004B35BC" w:rsidP="0030150A">
            <w:pPr>
              <w:jc w:val="center"/>
              <w:rPr>
                <w:sz w:val="24"/>
                <w:szCs w:val="24"/>
                <w:lang w:eastAsia="uk-UA"/>
              </w:rPr>
            </w:pPr>
          </w:p>
        </w:tc>
        <w:tc>
          <w:tcPr>
            <w:tcW w:w="1263" w:type="dxa"/>
            <w:vMerge/>
          </w:tcPr>
          <w:p w:rsidR="004B35BC" w:rsidRPr="00A15A1B" w:rsidRDefault="004B35BC" w:rsidP="0030150A">
            <w:pPr>
              <w:jc w:val="center"/>
              <w:rPr>
                <w:sz w:val="24"/>
                <w:szCs w:val="24"/>
                <w:lang w:eastAsia="uk-UA"/>
              </w:rPr>
            </w:pPr>
          </w:p>
        </w:tc>
        <w:tc>
          <w:tcPr>
            <w:tcW w:w="3744" w:type="dxa"/>
            <w:vMerge/>
          </w:tcPr>
          <w:p w:rsidR="004B35BC" w:rsidRPr="00A15A1B" w:rsidRDefault="004B35BC" w:rsidP="0030150A">
            <w:pPr>
              <w:jc w:val="both"/>
              <w:rPr>
                <w:b/>
                <w:sz w:val="24"/>
                <w:szCs w:val="24"/>
                <w:lang w:eastAsia="uk-UA"/>
              </w:rPr>
            </w:pPr>
          </w:p>
        </w:tc>
        <w:tc>
          <w:tcPr>
            <w:tcW w:w="4536" w:type="dxa"/>
          </w:tcPr>
          <w:p w:rsidR="004B35BC" w:rsidRPr="00A15A1B" w:rsidRDefault="004B35BC" w:rsidP="007F2484">
            <w:pPr>
              <w:jc w:val="both"/>
              <w:rPr>
                <w:b/>
                <w:sz w:val="24"/>
                <w:szCs w:val="24"/>
                <w:lang w:eastAsia="uk-UA"/>
              </w:rPr>
            </w:pPr>
            <w:r w:rsidRPr="00A15A1B">
              <w:rPr>
                <w:sz w:val="24"/>
                <w:szCs w:val="24"/>
                <w:lang w:eastAsia="uk-UA"/>
              </w:rPr>
              <w:t>R020(GR=336)/T020(2)</w:t>
            </w:r>
          </w:p>
        </w:tc>
      </w:tr>
      <w:tr w:rsidR="004B35BC" w:rsidRPr="00A15A1B" w:rsidTr="00B523D2">
        <w:trPr>
          <w:jc w:val="center"/>
        </w:trPr>
        <w:tc>
          <w:tcPr>
            <w:tcW w:w="506" w:type="dxa"/>
          </w:tcPr>
          <w:p w:rsidR="004B35BC" w:rsidRPr="00A15A1B" w:rsidRDefault="00D56F1F" w:rsidP="0030150A">
            <w:pPr>
              <w:jc w:val="center"/>
              <w:rPr>
                <w:sz w:val="24"/>
                <w:szCs w:val="24"/>
                <w:lang w:eastAsia="uk-UA"/>
              </w:rPr>
            </w:pPr>
            <w:r>
              <w:rPr>
                <w:sz w:val="24"/>
                <w:szCs w:val="24"/>
                <w:lang w:eastAsia="uk-UA"/>
              </w:rPr>
              <w:t>58</w:t>
            </w:r>
          </w:p>
        </w:tc>
        <w:tc>
          <w:tcPr>
            <w:tcW w:w="1150" w:type="dxa"/>
          </w:tcPr>
          <w:p w:rsidR="004B35BC" w:rsidRPr="00A15A1B" w:rsidRDefault="004B35BC" w:rsidP="0030150A">
            <w:pPr>
              <w:jc w:val="center"/>
              <w:rPr>
                <w:b/>
                <w:sz w:val="24"/>
                <w:szCs w:val="24"/>
                <w:lang w:eastAsia="uk-UA"/>
              </w:rPr>
            </w:pPr>
            <w:r w:rsidRPr="00A15A1B">
              <w:rPr>
                <w:sz w:val="24"/>
                <w:szCs w:val="24"/>
                <w:lang w:val="en-US" w:eastAsia="uk-UA"/>
              </w:rPr>
              <w:t>RSF</w:t>
            </w:r>
          </w:p>
        </w:tc>
        <w:tc>
          <w:tcPr>
            <w:tcW w:w="1263" w:type="dxa"/>
          </w:tcPr>
          <w:p w:rsidR="004B35BC" w:rsidRPr="00A15A1B" w:rsidRDefault="004B35BC" w:rsidP="0030150A">
            <w:pPr>
              <w:jc w:val="center"/>
              <w:rPr>
                <w:b/>
                <w:sz w:val="24"/>
                <w:szCs w:val="24"/>
                <w:lang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058</w:t>
            </w:r>
          </w:p>
        </w:tc>
        <w:tc>
          <w:tcPr>
            <w:tcW w:w="8280" w:type="dxa"/>
            <w:gridSpan w:val="2"/>
          </w:tcPr>
          <w:p w:rsidR="004B35BC" w:rsidRPr="00A15A1B" w:rsidRDefault="004B35BC" w:rsidP="0030150A">
            <w:pPr>
              <w:jc w:val="both"/>
              <w:rPr>
                <w:b/>
                <w:sz w:val="24"/>
                <w:szCs w:val="24"/>
                <w:lang w:eastAsia="uk-UA"/>
              </w:rPr>
            </w:pPr>
            <w:r w:rsidRPr="00A15A1B">
              <w:rPr>
                <w:b/>
                <w:sz w:val="24"/>
                <w:szCs w:val="24"/>
                <w:lang w:eastAsia="uk-UA"/>
              </w:rPr>
              <w:t>Обсяг необхідного стабільного фінансування (</w:t>
            </w:r>
            <w:r w:rsidRPr="00A15A1B">
              <w:rPr>
                <w:b/>
                <w:sz w:val="24"/>
                <w:szCs w:val="24"/>
                <w:lang w:val="en-US" w:eastAsia="uk-UA"/>
              </w:rPr>
              <w:t>R</w:t>
            </w:r>
            <w:r w:rsidRPr="00A15A1B">
              <w:rPr>
                <w:b/>
                <w:sz w:val="24"/>
                <w:szCs w:val="24"/>
                <w:lang w:eastAsia="uk-UA"/>
              </w:rPr>
              <w:t xml:space="preserve">SF) іноземних учасників, до яких встановлені консервативні вимоги </w:t>
            </w:r>
          </w:p>
          <w:p w:rsidR="004B35BC" w:rsidRPr="00A15A1B" w:rsidRDefault="004B35BC" w:rsidP="0030150A">
            <w:pPr>
              <w:jc w:val="both"/>
              <w:rPr>
                <w:sz w:val="24"/>
                <w:szCs w:val="24"/>
                <w:lang w:eastAsia="uk-UA"/>
              </w:rPr>
            </w:pPr>
            <w:r w:rsidRPr="00A15A1B">
              <w:rPr>
                <w:sz w:val="24"/>
                <w:szCs w:val="24"/>
                <w:lang w:eastAsia="uk-UA"/>
              </w:rPr>
              <w:t xml:space="preserve">1. Сума за всіма складовими необхідного стабільного фінансування іноземних учасників, до яких відповідними державними органами іноземних держав, що здійснюють нагляд за іноземними учасниками, установлені більш </w:t>
            </w:r>
            <w:r w:rsidRPr="00A15A1B">
              <w:rPr>
                <w:sz w:val="24"/>
                <w:szCs w:val="24"/>
                <w:lang w:eastAsia="uk-UA"/>
              </w:rPr>
              <w:lastRenderedPageBreak/>
              <w:t xml:space="preserve">консервативні вимоги порівняно з вимогами, встановленими Національним банком, зважена на відповідні коефіцієнти </w:t>
            </w:r>
            <w:r w:rsidRPr="00A15A1B">
              <w:rPr>
                <w:sz w:val="24"/>
                <w:szCs w:val="24"/>
                <w:lang w:val="en-US" w:eastAsia="uk-UA"/>
              </w:rPr>
              <w:t>RSF</w:t>
            </w:r>
            <w:r w:rsidRPr="00A15A1B">
              <w:rPr>
                <w:sz w:val="24"/>
                <w:szCs w:val="24"/>
                <w:lang w:eastAsia="uk-UA"/>
              </w:rPr>
              <w:t>.</w:t>
            </w:r>
          </w:p>
          <w:p w:rsidR="004B35BC" w:rsidRPr="00A15A1B" w:rsidRDefault="004B35BC" w:rsidP="0030150A">
            <w:pPr>
              <w:jc w:val="both"/>
              <w:rPr>
                <w:sz w:val="24"/>
                <w:szCs w:val="24"/>
                <w:lang w:eastAsia="uk-UA"/>
              </w:rPr>
            </w:pPr>
            <w:r w:rsidRPr="00A15A1B">
              <w:rPr>
                <w:sz w:val="24"/>
                <w:szCs w:val="24"/>
                <w:lang w:eastAsia="uk-UA"/>
              </w:rPr>
              <w:t xml:space="preserve">2. Якщо установлені відповідними державними органами іноземних держав, що здійснюють нагляд за іноземними учасниками, вимоги до складових необхідного стабільного фінансування не є більш консервативними порівняно з вимогами, встановленими Національним банком, показник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 xml:space="preserve">058 не заповнюється, а необхідне стабільне фінансування іноземного учасника включаються до показників </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030-</w:t>
            </w: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057.</w:t>
            </w:r>
          </w:p>
        </w:tc>
      </w:tr>
      <w:tr w:rsidR="00DE6755" w:rsidRPr="00A15A1B" w:rsidTr="00B523D2">
        <w:trPr>
          <w:jc w:val="center"/>
        </w:trPr>
        <w:tc>
          <w:tcPr>
            <w:tcW w:w="506" w:type="dxa"/>
          </w:tcPr>
          <w:p w:rsidR="00DE6755" w:rsidRDefault="00DE6755" w:rsidP="0030150A">
            <w:pPr>
              <w:jc w:val="center"/>
              <w:rPr>
                <w:sz w:val="24"/>
                <w:szCs w:val="24"/>
                <w:lang w:eastAsia="uk-UA"/>
              </w:rPr>
            </w:pPr>
            <w:r>
              <w:rPr>
                <w:sz w:val="24"/>
                <w:szCs w:val="24"/>
                <w:lang w:eastAsia="uk-UA"/>
              </w:rPr>
              <w:lastRenderedPageBreak/>
              <w:t>59</w:t>
            </w:r>
          </w:p>
        </w:tc>
        <w:tc>
          <w:tcPr>
            <w:tcW w:w="1150" w:type="dxa"/>
          </w:tcPr>
          <w:p w:rsidR="00DE6755" w:rsidRPr="00A15A1B"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sz w:val="24"/>
                <w:szCs w:val="24"/>
                <w:lang w:val="en-US" w:eastAsia="uk-UA"/>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05</w:t>
            </w:r>
            <w:r>
              <w:rPr>
                <w:sz w:val="24"/>
                <w:szCs w:val="24"/>
                <w:lang w:eastAsia="uk-UA"/>
              </w:rPr>
              <w:t>9</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із залишковим строком погашення до одного року, які включені до частки меншості, яка включена до капіталу </w:t>
            </w:r>
            <w:r w:rsidRPr="00AB6BA1">
              <w:rPr>
                <w:b/>
                <w:bCs/>
                <w:sz w:val="24"/>
                <w:szCs w:val="24"/>
              </w:rPr>
              <w:t>кредитно-інвестиційної підгрупи банківської групи, але не включена до складових капіталу</w:t>
            </w:r>
          </w:p>
          <w:p w:rsidR="00DE6755" w:rsidRPr="00AB6BA1" w:rsidRDefault="00DE6755" w:rsidP="00DE6755">
            <w:pPr>
              <w:jc w:val="both"/>
              <w:rPr>
                <w:b/>
                <w:sz w:val="24"/>
                <w:szCs w:val="24"/>
                <w:lang w:val="uk-UA" w:eastAsia="uk-UA"/>
              </w:rPr>
            </w:pPr>
            <w:r w:rsidRPr="00AB6BA1">
              <w:rPr>
                <w:sz w:val="24"/>
                <w:szCs w:val="24"/>
                <w:lang w:val="uk-UA"/>
              </w:rPr>
              <w:t>1. Сума власних інструментів капіталу із залишковим строком погашення до одного року, які включені до частки меншості, яка включена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 але не включена до складових капіталу згідно з підпунктом 1 пункту 8</w:t>
            </w:r>
            <w:r w:rsidRPr="00AB6BA1">
              <w:rPr>
                <w:sz w:val="24"/>
                <w:szCs w:val="24"/>
                <w:vertAlign w:val="superscript"/>
                <w:lang w:val="uk-UA"/>
              </w:rPr>
              <w:t>1</w:t>
            </w:r>
            <w:r w:rsidRPr="00AB6BA1">
              <w:rPr>
                <w:sz w:val="24"/>
                <w:szCs w:val="24"/>
                <w:lang w:val="uk-UA"/>
              </w:rPr>
              <w:t xml:space="preserve"> розділу ІІІ Методики №</w:t>
            </w:r>
            <w:r w:rsidRPr="00AB6BA1">
              <w:rPr>
                <w:sz w:val="24"/>
                <w:szCs w:val="24"/>
              </w:rPr>
              <w:t> </w:t>
            </w:r>
            <w:r w:rsidRPr="00AB6BA1">
              <w:rPr>
                <w:sz w:val="24"/>
                <w:szCs w:val="24"/>
                <w:lang w:val="uk-UA"/>
              </w:rPr>
              <w:t>1001.</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60</w:t>
            </w:r>
          </w:p>
        </w:tc>
        <w:tc>
          <w:tcPr>
            <w:tcW w:w="1150" w:type="dxa"/>
          </w:tcPr>
          <w:p w:rsidR="00DE6755" w:rsidRDefault="00DE6755" w:rsidP="00DE6755">
            <w:pPr>
              <w:jc w:val="center"/>
              <w:rPr>
                <w:sz w:val="24"/>
                <w:szCs w:val="24"/>
                <w:lang w:val="en-US"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60</w:t>
            </w:r>
          </w:p>
        </w:tc>
        <w:tc>
          <w:tcPr>
            <w:tcW w:w="8280" w:type="dxa"/>
            <w:gridSpan w:val="2"/>
          </w:tcPr>
          <w:p w:rsidR="00DE6755" w:rsidRPr="00AB6BA1" w:rsidRDefault="00DE6755" w:rsidP="00DE6755">
            <w:pPr>
              <w:jc w:val="both"/>
              <w:rPr>
                <w:sz w:val="24"/>
                <w:szCs w:val="24"/>
                <w:highlight w:val="yellow"/>
              </w:rPr>
            </w:pPr>
            <w:r w:rsidRPr="00AB6BA1">
              <w:rPr>
                <w:b/>
                <w:sz w:val="24"/>
                <w:szCs w:val="24"/>
              </w:rPr>
              <w:t xml:space="preserve">Власні інструменти капіталу, які включені до частки меншості, але не включені до капіталу </w:t>
            </w:r>
            <w:r w:rsidRPr="00AB6BA1">
              <w:rPr>
                <w:b/>
                <w:bCs/>
                <w:sz w:val="24"/>
                <w:szCs w:val="24"/>
              </w:rPr>
              <w:t>кредитно-інвестиційної підгрупи банківської групи</w:t>
            </w:r>
          </w:p>
          <w:p w:rsidR="00DE6755" w:rsidRPr="00AB6BA1" w:rsidRDefault="00DE6755" w:rsidP="00DE6755">
            <w:pPr>
              <w:jc w:val="both"/>
              <w:rPr>
                <w:b/>
                <w:sz w:val="24"/>
                <w:szCs w:val="24"/>
                <w:lang w:val="uk-UA"/>
              </w:rPr>
            </w:pPr>
            <w:r w:rsidRPr="00AB6BA1">
              <w:rPr>
                <w:sz w:val="24"/>
                <w:szCs w:val="24"/>
                <w:lang w:val="uk-UA"/>
              </w:rPr>
              <w:t>1. Сума власних інструментів капіталу, які включені до частки меншості, але не включені до капіталу кредитно-інвестиційної підгрупи банківської групи згідно з Положенням №</w:t>
            </w:r>
            <w:r w:rsidRPr="00AB6BA1">
              <w:rPr>
                <w:sz w:val="24"/>
                <w:szCs w:val="24"/>
              </w:rPr>
              <w:t> </w:t>
            </w:r>
            <w:r w:rsidRPr="00AB6BA1">
              <w:rPr>
                <w:sz w:val="24"/>
                <w:szCs w:val="24"/>
                <w:lang w:val="uk-UA"/>
              </w:rPr>
              <w:t>254.</w:t>
            </w:r>
          </w:p>
        </w:tc>
      </w:tr>
      <w:tr w:rsidR="00DE6755" w:rsidRPr="00A15A1B" w:rsidTr="00B523D2">
        <w:trPr>
          <w:jc w:val="center"/>
        </w:trPr>
        <w:tc>
          <w:tcPr>
            <w:tcW w:w="506" w:type="dxa"/>
          </w:tcPr>
          <w:p w:rsidR="00DE6755" w:rsidRPr="00DE6755" w:rsidRDefault="00DE6755" w:rsidP="0030150A">
            <w:pPr>
              <w:jc w:val="center"/>
              <w:rPr>
                <w:sz w:val="24"/>
                <w:szCs w:val="24"/>
                <w:lang w:val="en-US" w:eastAsia="uk-UA"/>
              </w:rPr>
            </w:pPr>
            <w:r>
              <w:rPr>
                <w:sz w:val="24"/>
                <w:szCs w:val="24"/>
                <w:lang w:val="en-US" w:eastAsia="uk-UA"/>
              </w:rPr>
              <w:t>61</w:t>
            </w:r>
          </w:p>
        </w:tc>
        <w:tc>
          <w:tcPr>
            <w:tcW w:w="1150" w:type="dxa"/>
          </w:tcPr>
          <w:p w:rsidR="00DE6755" w:rsidRPr="00DE6755" w:rsidRDefault="00DE6755" w:rsidP="00DE6755">
            <w:pPr>
              <w:jc w:val="center"/>
              <w:rPr>
                <w:sz w:val="24"/>
                <w:szCs w:val="24"/>
                <w:lang w:val="uk-UA" w:eastAsia="uk-UA"/>
              </w:rPr>
            </w:pPr>
            <w:r>
              <w:rPr>
                <w:sz w:val="24"/>
                <w:szCs w:val="24"/>
                <w:lang w:val="en-US" w:eastAsia="uk-UA"/>
              </w:rPr>
              <w:t>A</w:t>
            </w:r>
            <w:r w:rsidRPr="00A15A1B">
              <w:rPr>
                <w:sz w:val="24"/>
                <w:szCs w:val="24"/>
                <w:lang w:val="en-US" w:eastAsia="uk-UA"/>
              </w:rPr>
              <w:t>SF</w:t>
            </w:r>
          </w:p>
        </w:tc>
        <w:tc>
          <w:tcPr>
            <w:tcW w:w="1263" w:type="dxa"/>
          </w:tcPr>
          <w:p w:rsidR="00DE6755" w:rsidRPr="00DE6755" w:rsidRDefault="002B75D4" w:rsidP="002B75D4">
            <w:pPr>
              <w:jc w:val="center"/>
              <w:rPr>
                <w:color w:val="00B050"/>
                <w:sz w:val="24"/>
                <w:szCs w:val="24"/>
              </w:rPr>
            </w:pPr>
            <w:r w:rsidRPr="00A15A1B">
              <w:rPr>
                <w:sz w:val="24"/>
                <w:szCs w:val="24"/>
                <w:lang w:val="en-US" w:eastAsia="uk-UA"/>
              </w:rPr>
              <w:t>A</w:t>
            </w:r>
            <w:r w:rsidRPr="00A15A1B">
              <w:rPr>
                <w:sz w:val="24"/>
                <w:szCs w:val="24"/>
                <w:lang w:eastAsia="uk-UA"/>
              </w:rPr>
              <w:t>6N</w:t>
            </w:r>
            <w:r w:rsidRPr="00A15A1B">
              <w:rPr>
                <w:sz w:val="24"/>
                <w:szCs w:val="24"/>
                <w:lang w:val="en-US" w:eastAsia="uk-UA"/>
              </w:rPr>
              <w:t>C</w:t>
            </w:r>
            <w:r w:rsidRPr="00A15A1B">
              <w:rPr>
                <w:sz w:val="24"/>
                <w:szCs w:val="24"/>
                <w:lang w:eastAsia="uk-UA"/>
              </w:rPr>
              <w:t>0</w:t>
            </w:r>
            <w:r>
              <w:rPr>
                <w:sz w:val="24"/>
                <w:szCs w:val="24"/>
                <w:lang w:eastAsia="uk-UA"/>
              </w:rPr>
              <w:t>61</w:t>
            </w:r>
          </w:p>
        </w:tc>
        <w:tc>
          <w:tcPr>
            <w:tcW w:w="8280" w:type="dxa"/>
            <w:gridSpan w:val="2"/>
          </w:tcPr>
          <w:p w:rsidR="00264BAC" w:rsidRPr="00264BAC" w:rsidRDefault="00264BAC" w:rsidP="00264BAC">
            <w:pPr>
              <w:jc w:val="both"/>
              <w:rPr>
                <w:sz w:val="24"/>
                <w:szCs w:val="24"/>
                <w:highlight w:val="yellow"/>
              </w:rPr>
            </w:pPr>
            <w:r w:rsidRPr="00264BAC">
              <w:rPr>
                <w:b/>
                <w:bCs/>
                <w:sz w:val="24"/>
                <w:szCs w:val="24"/>
              </w:rPr>
              <w:t>Інші складові частки меншості, які не включені до капіталу кредитно-інвестиційної підгрупи банківської групи</w:t>
            </w:r>
          </w:p>
          <w:p w:rsidR="00DE6755" w:rsidRPr="00264BAC" w:rsidRDefault="00264BAC" w:rsidP="00264BAC">
            <w:pPr>
              <w:jc w:val="both"/>
              <w:rPr>
                <w:b/>
                <w:sz w:val="24"/>
                <w:szCs w:val="24"/>
                <w:lang w:val="uk-UA"/>
              </w:rPr>
            </w:pPr>
            <w:r w:rsidRPr="00264BAC">
              <w:rPr>
                <w:sz w:val="24"/>
                <w:szCs w:val="24"/>
                <w:lang w:val="uk-UA"/>
              </w:rPr>
              <w:t>1. Сума інших складових частки меншості, які не включені до капіталу кредитно-інвестиційної підгрупи банківської групи згідно з Положенням №</w:t>
            </w:r>
            <w:r w:rsidRPr="00264BAC">
              <w:rPr>
                <w:sz w:val="24"/>
                <w:szCs w:val="24"/>
              </w:rPr>
              <w:t> </w:t>
            </w:r>
            <w:r w:rsidRPr="00264BAC">
              <w:rPr>
                <w:sz w:val="24"/>
                <w:szCs w:val="24"/>
                <w:lang w:val="uk-UA"/>
              </w:rPr>
              <w:t>254.</w:t>
            </w:r>
          </w:p>
        </w:tc>
      </w:tr>
    </w:tbl>
    <w:p w:rsidR="000B4FC7" w:rsidRPr="000B4FC7" w:rsidRDefault="000B4FC7" w:rsidP="004B35BC">
      <w:pPr>
        <w:ind w:firstLine="709"/>
        <w:jc w:val="center"/>
        <w:rPr>
          <w:sz w:val="28"/>
          <w:szCs w:val="28"/>
        </w:rPr>
      </w:pPr>
    </w:p>
    <w:sectPr w:rsidR="000B4FC7" w:rsidRPr="000B4FC7" w:rsidSect="00294933">
      <w:headerReference w:type="even" r:id="rId8"/>
      <w:headerReference w:type="default" r:id="rId9"/>
      <w:footerReference w:type="even" r:id="rId10"/>
      <w:footerReference w:type="default" r:id="rId11"/>
      <w:pgSz w:w="16838" w:h="11906" w:orient="landscape"/>
      <w:pgMar w:top="425" w:right="539"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8E" w:rsidRDefault="00E96D8E">
      <w:r>
        <w:separator/>
      </w:r>
    </w:p>
  </w:endnote>
  <w:endnote w:type="continuationSeparator" w:id="0">
    <w:p w:rsidR="00E96D8E" w:rsidRDefault="00E9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8"/>
    </w:pPr>
  </w:p>
  <w:p w:rsidR="00E96D8E" w:rsidRDefault="00E96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Pr="00A80B04" w:rsidRDefault="00E96D8E">
    <w:pPr>
      <w:pStyle w:val="a8"/>
      <w:jc w:val="right"/>
      <w:rPr>
        <w:sz w:val="28"/>
        <w:szCs w:val="28"/>
      </w:rPr>
    </w:pPr>
  </w:p>
  <w:p w:rsidR="00E96D8E" w:rsidRDefault="00E96D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8E" w:rsidRDefault="00E96D8E">
      <w:r>
        <w:separator/>
      </w:r>
    </w:p>
  </w:footnote>
  <w:footnote w:type="continuationSeparator" w:id="0">
    <w:p w:rsidR="00E96D8E" w:rsidRDefault="00E9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8E" w:rsidRDefault="00E96D8E">
    <w:pPr>
      <w:pStyle w:val="a3"/>
    </w:pPr>
  </w:p>
  <w:p w:rsidR="00E96D8E" w:rsidRDefault="00E96D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05410"/>
      <w:docPartObj>
        <w:docPartGallery w:val="Page Numbers (Top of Page)"/>
        <w:docPartUnique/>
      </w:docPartObj>
    </w:sdtPr>
    <w:sdtEndPr>
      <w:rPr>
        <w:sz w:val="28"/>
      </w:rPr>
    </w:sdtEndPr>
    <w:sdtContent>
      <w:p w:rsidR="00E96D8E" w:rsidRPr="005026A1" w:rsidRDefault="00E96D8E">
        <w:pPr>
          <w:pStyle w:val="a3"/>
          <w:jc w:val="center"/>
          <w:rPr>
            <w:sz w:val="28"/>
          </w:rPr>
        </w:pPr>
        <w:r w:rsidRPr="005026A1">
          <w:rPr>
            <w:sz w:val="28"/>
          </w:rPr>
          <w:fldChar w:fldCharType="begin"/>
        </w:r>
        <w:r w:rsidRPr="005026A1">
          <w:rPr>
            <w:sz w:val="28"/>
          </w:rPr>
          <w:instrText>PAGE   \* MERGEFORMAT</w:instrText>
        </w:r>
        <w:r w:rsidRPr="005026A1">
          <w:rPr>
            <w:sz w:val="28"/>
          </w:rPr>
          <w:fldChar w:fldCharType="separate"/>
        </w:r>
        <w:r w:rsidR="00B44534">
          <w:rPr>
            <w:noProof/>
            <w:sz w:val="28"/>
          </w:rPr>
          <w:t>24</w:t>
        </w:r>
        <w:r w:rsidRPr="005026A1">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BDC"/>
    <w:multiLevelType w:val="hybridMultilevel"/>
    <w:tmpl w:val="D850FA98"/>
    <w:lvl w:ilvl="0" w:tplc="04220005">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BD2A80"/>
    <w:multiLevelType w:val="hybridMultilevel"/>
    <w:tmpl w:val="88C431C8"/>
    <w:lvl w:ilvl="0" w:tplc="19A642CC">
      <w:start w:val="1"/>
      <w:numFmt w:val="decimal"/>
      <w:lvlText w:val="%1)"/>
      <w:lvlJc w:val="left"/>
      <w:pPr>
        <w:ind w:left="1069" w:hanging="360"/>
      </w:pPr>
      <w:rPr>
        <w:rFonts w:hint="default"/>
        <w:i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6"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10"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8"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3" w15:restartNumberingAfterBreak="0">
    <w:nsid w:val="436712EA"/>
    <w:multiLevelType w:val="hybridMultilevel"/>
    <w:tmpl w:val="FFE8041E"/>
    <w:lvl w:ilvl="0" w:tplc="7A7A3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15:restartNumberingAfterBreak="0">
    <w:nsid w:val="589D4548"/>
    <w:multiLevelType w:val="hybridMultilevel"/>
    <w:tmpl w:val="576E8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2"/>
  </w:num>
  <w:num w:numId="2">
    <w:abstractNumId w:val="16"/>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7"/>
  </w:num>
  <w:num w:numId="7">
    <w:abstractNumId w:val="19"/>
  </w:num>
  <w:num w:numId="8">
    <w:abstractNumId w:val="12"/>
  </w:num>
  <w:num w:numId="9">
    <w:abstractNumId w:val="5"/>
  </w:num>
  <w:num w:numId="10">
    <w:abstractNumId w:val="24"/>
  </w:num>
  <w:num w:numId="11">
    <w:abstractNumId w:val="9"/>
  </w:num>
  <w:num w:numId="12">
    <w:abstractNumId w:val="28"/>
  </w:num>
  <w:num w:numId="13">
    <w:abstractNumId w:val="15"/>
  </w:num>
  <w:num w:numId="14">
    <w:abstractNumId w:val="6"/>
  </w:num>
  <w:num w:numId="15">
    <w:abstractNumId w:val="10"/>
  </w:num>
  <w:num w:numId="16">
    <w:abstractNumId w:val="18"/>
  </w:num>
  <w:num w:numId="17">
    <w:abstractNumId w:val="32"/>
  </w:num>
  <w:num w:numId="18">
    <w:abstractNumId w:val="17"/>
  </w:num>
  <w:num w:numId="19">
    <w:abstractNumId w:val="4"/>
  </w:num>
  <w:num w:numId="20">
    <w:abstractNumId w:val="11"/>
  </w:num>
  <w:num w:numId="21">
    <w:abstractNumId w:val="26"/>
  </w:num>
  <w:num w:numId="22">
    <w:abstractNumId w:val="8"/>
  </w:num>
  <w:num w:numId="23">
    <w:abstractNumId w:val="27"/>
  </w:num>
  <w:num w:numId="24">
    <w:abstractNumId w:val="21"/>
  </w:num>
  <w:num w:numId="25">
    <w:abstractNumId w:val="3"/>
  </w:num>
  <w:num w:numId="26">
    <w:abstractNumId w:val="20"/>
  </w:num>
  <w:num w:numId="27">
    <w:abstractNumId w:val="30"/>
  </w:num>
  <w:num w:numId="28">
    <w:abstractNumId w:val="25"/>
  </w:num>
  <w:num w:numId="29">
    <w:abstractNumId w:val="33"/>
  </w:num>
  <w:num w:numId="30">
    <w:abstractNumId w:val="13"/>
  </w:num>
  <w:num w:numId="31">
    <w:abstractNumId w:val="14"/>
  </w:num>
  <w:num w:numId="32">
    <w:abstractNumId w:val="1"/>
  </w:num>
  <w:num w:numId="33">
    <w:abstractNumId w:val="0"/>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hideSpellingErrors/>
  <w:proofState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D6"/>
    <w:rsid w:val="00000AEC"/>
    <w:rsid w:val="000034D0"/>
    <w:rsid w:val="000035E7"/>
    <w:rsid w:val="000040FA"/>
    <w:rsid w:val="0000481E"/>
    <w:rsid w:val="00004D0D"/>
    <w:rsid w:val="00010273"/>
    <w:rsid w:val="00012A92"/>
    <w:rsid w:val="000144A0"/>
    <w:rsid w:val="00015329"/>
    <w:rsid w:val="00015A04"/>
    <w:rsid w:val="00016E98"/>
    <w:rsid w:val="00022B43"/>
    <w:rsid w:val="00022D4B"/>
    <w:rsid w:val="00022EA1"/>
    <w:rsid w:val="00022F79"/>
    <w:rsid w:val="000231E6"/>
    <w:rsid w:val="000246F2"/>
    <w:rsid w:val="000253DD"/>
    <w:rsid w:val="000269AB"/>
    <w:rsid w:val="000303F1"/>
    <w:rsid w:val="000310C0"/>
    <w:rsid w:val="00031262"/>
    <w:rsid w:val="0003130B"/>
    <w:rsid w:val="00031691"/>
    <w:rsid w:val="000327FB"/>
    <w:rsid w:val="00032F32"/>
    <w:rsid w:val="00032FF1"/>
    <w:rsid w:val="00033768"/>
    <w:rsid w:val="00033DB8"/>
    <w:rsid w:val="0003409C"/>
    <w:rsid w:val="00037183"/>
    <w:rsid w:val="00037A05"/>
    <w:rsid w:val="00037C4E"/>
    <w:rsid w:val="000407BB"/>
    <w:rsid w:val="00041E3D"/>
    <w:rsid w:val="000424A3"/>
    <w:rsid w:val="00042B6C"/>
    <w:rsid w:val="00042BC6"/>
    <w:rsid w:val="000439D1"/>
    <w:rsid w:val="000449A2"/>
    <w:rsid w:val="00046AE7"/>
    <w:rsid w:val="00047AD4"/>
    <w:rsid w:val="000512EF"/>
    <w:rsid w:val="00051302"/>
    <w:rsid w:val="000513AC"/>
    <w:rsid w:val="00051F19"/>
    <w:rsid w:val="00053E87"/>
    <w:rsid w:val="00054184"/>
    <w:rsid w:val="00054621"/>
    <w:rsid w:val="00055861"/>
    <w:rsid w:val="0005711C"/>
    <w:rsid w:val="00057869"/>
    <w:rsid w:val="0006011A"/>
    <w:rsid w:val="0006047B"/>
    <w:rsid w:val="000609DC"/>
    <w:rsid w:val="00060A14"/>
    <w:rsid w:val="00060C4A"/>
    <w:rsid w:val="00062F2C"/>
    <w:rsid w:val="00063003"/>
    <w:rsid w:val="00063657"/>
    <w:rsid w:val="00064458"/>
    <w:rsid w:val="00064CF9"/>
    <w:rsid w:val="000657D9"/>
    <w:rsid w:val="00065E55"/>
    <w:rsid w:val="00065F76"/>
    <w:rsid w:val="000660C2"/>
    <w:rsid w:val="00066679"/>
    <w:rsid w:val="00067A35"/>
    <w:rsid w:val="0007058C"/>
    <w:rsid w:val="000708A6"/>
    <w:rsid w:val="000708EC"/>
    <w:rsid w:val="000717AF"/>
    <w:rsid w:val="00072538"/>
    <w:rsid w:val="00072CB1"/>
    <w:rsid w:val="000738AA"/>
    <w:rsid w:val="00075296"/>
    <w:rsid w:val="000770D3"/>
    <w:rsid w:val="000771D4"/>
    <w:rsid w:val="000771FF"/>
    <w:rsid w:val="00077899"/>
    <w:rsid w:val="000779A3"/>
    <w:rsid w:val="00080598"/>
    <w:rsid w:val="00080E3A"/>
    <w:rsid w:val="000814B8"/>
    <w:rsid w:val="00081AC5"/>
    <w:rsid w:val="00083B28"/>
    <w:rsid w:val="00083D52"/>
    <w:rsid w:val="000878CE"/>
    <w:rsid w:val="00087A0A"/>
    <w:rsid w:val="00087DA6"/>
    <w:rsid w:val="000919D5"/>
    <w:rsid w:val="000923B3"/>
    <w:rsid w:val="00092447"/>
    <w:rsid w:val="00092FDE"/>
    <w:rsid w:val="000945F1"/>
    <w:rsid w:val="0009505F"/>
    <w:rsid w:val="00095715"/>
    <w:rsid w:val="0009605A"/>
    <w:rsid w:val="0009708A"/>
    <w:rsid w:val="00097386"/>
    <w:rsid w:val="000A02F0"/>
    <w:rsid w:val="000A0382"/>
    <w:rsid w:val="000A2662"/>
    <w:rsid w:val="000A2968"/>
    <w:rsid w:val="000A34D2"/>
    <w:rsid w:val="000A5C7F"/>
    <w:rsid w:val="000A5D09"/>
    <w:rsid w:val="000A61A4"/>
    <w:rsid w:val="000A64B1"/>
    <w:rsid w:val="000A7384"/>
    <w:rsid w:val="000A74B5"/>
    <w:rsid w:val="000B11E9"/>
    <w:rsid w:val="000B2C9B"/>
    <w:rsid w:val="000B4FC7"/>
    <w:rsid w:val="000B57EF"/>
    <w:rsid w:val="000B6E0D"/>
    <w:rsid w:val="000B78A6"/>
    <w:rsid w:val="000B7B02"/>
    <w:rsid w:val="000C0138"/>
    <w:rsid w:val="000C0FEE"/>
    <w:rsid w:val="000C1330"/>
    <w:rsid w:val="000C1965"/>
    <w:rsid w:val="000C270E"/>
    <w:rsid w:val="000C2D2A"/>
    <w:rsid w:val="000C496A"/>
    <w:rsid w:val="000C4D5C"/>
    <w:rsid w:val="000C58D6"/>
    <w:rsid w:val="000C7707"/>
    <w:rsid w:val="000C7890"/>
    <w:rsid w:val="000C7D19"/>
    <w:rsid w:val="000D0458"/>
    <w:rsid w:val="000D0A1D"/>
    <w:rsid w:val="000D123F"/>
    <w:rsid w:val="000D2089"/>
    <w:rsid w:val="000D2722"/>
    <w:rsid w:val="000D2E19"/>
    <w:rsid w:val="000D37D2"/>
    <w:rsid w:val="000D47B3"/>
    <w:rsid w:val="000D6342"/>
    <w:rsid w:val="000D64C4"/>
    <w:rsid w:val="000D6A5F"/>
    <w:rsid w:val="000D6F55"/>
    <w:rsid w:val="000D7361"/>
    <w:rsid w:val="000D77EC"/>
    <w:rsid w:val="000E017E"/>
    <w:rsid w:val="000E12A4"/>
    <w:rsid w:val="000E1A67"/>
    <w:rsid w:val="000E1BFD"/>
    <w:rsid w:val="000E21DE"/>
    <w:rsid w:val="000E2CBD"/>
    <w:rsid w:val="000E3F7D"/>
    <w:rsid w:val="000E46DB"/>
    <w:rsid w:val="000E4BEE"/>
    <w:rsid w:val="000E4F36"/>
    <w:rsid w:val="000E6C28"/>
    <w:rsid w:val="000E7221"/>
    <w:rsid w:val="000F1AFA"/>
    <w:rsid w:val="000F29E4"/>
    <w:rsid w:val="000F389C"/>
    <w:rsid w:val="000F3D31"/>
    <w:rsid w:val="000F3DF0"/>
    <w:rsid w:val="000F603D"/>
    <w:rsid w:val="000F6945"/>
    <w:rsid w:val="000F6D90"/>
    <w:rsid w:val="000F6F27"/>
    <w:rsid w:val="000F7246"/>
    <w:rsid w:val="000F7A5B"/>
    <w:rsid w:val="00100A9A"/>
    <w:rsid w:val="00100BE9"/>
    <w:rsid w:val="00101C95"/>
    <w:rsid w:val="0010225B"/>
    <w:rsid w:val="00102E4E"/>
    <w:rsid w:val="001031F4"/>
    <w:rsid w:val="001066EE"/>
    <w:rsid w:val="0010722D"/>
    <w:rsid w:val="001103A5"/>
    <w:rsid w:val="00110EC3"/>
    <w:rsid w:val="001112B1"/>
    <w:rsid w:val="00111B91"/>
    <w:rsid w:val="00113404"/>
    <w:rsid w:val="001136C7"/>
    <w:rsid w:val="0011501F"/>
    <w:rsid w:val="001158B0"/>
    <w:rsid w:val="00115D91"/>
    <w:rsid w:val="001166D3"/>
    <w:rsid w:val="00116DE8"/>
    <w:rsid w:val="00117536"/>
    <w:rsid w:val="001221FD"/>
    <w:rsid w:val="00122553"/>
    <w:rsid w:val="00125884"/>
    <w:rsid w:val="00125D86"/>
    <w:rsid w:val="001260D9"/>
    <w:rsid w:val="00126752"/>
    <w:rsid w:val="0012731E"/>
    <w:rsid w:val="0013008E"/>
    <w:rsid w:val="00130639"/>
    <w:rsid w:val="0013065C"/>
    <w:rsid w:val="00130EF5"/>
    <w:rsid w:val="00131868"/>
    <w:rsid w:val="00131D66"/>
    <w:rsid w:val="001327F1"/>
    <w:rsid w:val="0013328A"/>
    <w:rsid w:val="0013487E"/>
    <w:rsid w:val="00134B31"/>
    <w:rsid w:val="00134DB3"/>
    <w:rsid w:val="00135098"/>
    <w:rsid w:val="001372DD"/>
    <w:rsid w:val="001401E1"/>
    <w:rsid w:val="00140237"/>
    <w:rsid w:val="00140E95"/>
    <w:rsid w:val="0014118E"/>
    <w:rsid w:val="0014181C"/>
    <w:rsid w:val="001429E4"/>
    <w:rsid w:val="00142C19"/>
    <w:rsid w:val="001436CF"/>
    <w:rsid w:val="001444CB"/>
    <w:rsid w:val="00146FBB"/>
    <w:rsid w:val="001479CE"/>
    <w:rsid w:val="00150CC2"/>
    <w:rsid w:val="001513E0"/>
    <w:rsid w:val="00151E61"/>
    <w:rsid w:val="001521AC"/>
    <w:rsid w:val="001538E4"/>
    <w:rsid w:val="00153D65"/>
    <w:rsid w:val="001546B3"/>
    <w:rsid w:val="00154FDB"/>
    <w:rsid w:val="001570D7"/>
    <w:rsid w:val="00157242"/>
    <w:rsid w:val="00157566"/>
    <w:rsid w:val="00157600"/>
    <w:rsid w:val="0016036B"/>
    <w:rsid w:val="00160C9E"/>
    <w:rsid w:val="00161290"/>
    <w:rsid w:val="00163409"/>
    <w:rsid w:val="0016353D"/>
    <w:rsid w:val="00164D22"/>
    <w:rsid w:val="0016546D"/>
    <w:rsid w:val="00165C8D"/>
    <w:rsid w:val="00166755"/>
    <w:rsid w:val="00167B64"/>
    <w:rsid w:val="00167F45"/>
    <w:rsid w:val="00170D3C"/>
    <w:rsid w:val="0017122D"/>
    <w:rsid w:val="00171667"/>
    <w:rsid w:val="00171856"/>
    <w:rsid w:val="00171EF3"/>
    <w:rsid w:val="00172877"/>
    <w:rsid w:val="00173DE4"/>
    <w:rsid w:val="00173F52"/>
    <w:rsid w:val="00174515"/>
    <w:rsid w:val="00174823"/>
    <w:rsid w:val="00174BA4"/>
    <w:rsid w:val="00174D37"/>
    <w:rsid w:val="00174D63"/>
    <w:rsid w:val="00175A32"/>
    <w:rsid w:val="001765B2"/>
    <w:rsid w:val="00177B29"/>
    <w:rsid w:val="00177C99"/>
    <w:rsid w:val="00177D03"/>
    <w:rsid w:val="00177F52"/>
    <w:rsid w:val="0018087F"/>
    <w:rsid w:val="0018203A"/>
    <w:rsid w:val="00182BEE"/>
    <w:rsid w:val="00183716"/>
    <w:rsid w:val="00183EAC"/>
    <w:rsid w:val="00183FFE"/>
    <w:rsid w:val="0018567B"/>
    <w:rsid w:val="00185BA4"/>
    <w:rsid w:val="00185D2A"/>
    <w:rsid w:val="00186CFA"/>
    <w:rsid w:val="00187303"/>
    <w:rsid w:val="00190CF4"/>
    <w:rsid w:val="00191784"/>
    <w:rsid w:val="001925BE"/>
    <w:rsid w:val="00194E72"/>
    <w:rsid w:val="001957AE"/>
    <w:rsid w:val="00195E7A"/>
    <w:rsid w:val="0019678F"/>
    <w:rsid w:val="001973A6"/>
    <w:rsid w:val="001A0593"/>
    <w:rsid w:val="001A06B2"/>
    <w:rsid w:val="001A3101"/>
    <w:rsid w:val="001A5242"/>
    <w:rsid w:val="001A54A2"/>
    <w:rsid w:val="001A591C"/>
    <w:rsid w:val="001A5A85"/>
    <w:rsid w:val="001A6472"/>
    <w:rsid w:val="001A70C3"/>
    <w:rsid w:val="001A746F"/>
    <w:rsid w:val="001B1FEE"/>
    <w:rsid w:val="001B294F"/>
    <w:rsid w:val="001B4919"/>
    <w:rsid w:val="001B5B74"/>
    <w:rsid w:val="001B651D"/>
    <w:rsid w:val="001B6D9A"/>
    <w:rsid w:val="001B72CD"/>
    <w:rsid w:val="001C1223"/>
    <w:rsid w:val="001C13DF"/>
    <w:rsid w:val="001C1413"/>
    <w:rsid w:val="001C1F18"/>
    <w:rsid w:val="001C2334"/>
    <w:rsid w:val="001C282F"/>
    <w:rsid w:val="001C285D"/>
    <w:rsid w:val="001C2EEC"/>
    <w:rsid w:val="001C3619"/>
    <w:rsid w:val="001C6BD5"/>
    <w:rsid w:val="001C77F2"/>
    <w:rsid w:val="001C7D3C"/>
    <w:rsid w:val="001D0299"/>
    <w:rsid w:val="001D04D9"/>
    <w:rsid w:val="001D3EC8"/>
    <w:rsid w:val="001D425E"/>
    <w:rsid w:val="001D47C9"/>
    <w:rsid w:val="001D4E88"/>
    <w:rsid w:val="001D5281"/>
    <w:rsid w:val="001D544D"/>
    <w:rsid w:val="001D6050"/>
    <w:rsid w:val="001D77E2"/>
    <w:rsid w:val="001E1E58"/>
    <w:rsid w:val="001E2EA9"/>
    <w:rsid w:val="001E36A2"/>
    <w:rsid w:val="001E4536"/>
    <w:rsid w:val="001E4DF6"/>
    <w:rsid w:val="001E5922"/>
    <w:rsid w:val="001E5942"/>
    <w:rsid w:val="001E5BC2"/>
    <w:rsid w:val="001E6577"/>
    <w:rsid w:val="001F02AA"/>
    <w:rsid w:val="001F0B6F"/>
    <w:rsid w:val="001F1847"/>
    <w:rsid w:val="001F207B"/>
    <w:rsid w:val="001F2364"/>
    <w:rsid w:val="001F250D"/>
    <w:rsid w:val="001F291C"/>
    <w:rsid w:val="001F5D0F"/>
    <w:rsid w:val="002011CA"/>
    <w:rsid w:val="0020281F"/>
    <w:rsid w:val="002036DC"/>
    <w:rsid w:val="002038E8"/>
    <w:rsid w:val="00203BA3"/>
    <w:rsid w:val="002046DE"/>
    <w:rsid w:val="00204E85"/>
    <w:rsid w:val="00206F55"/>
    <w:rsid w:val="00207C03"/>
    <w:rsid w:val="00210214"/>
    <w:rsid w:val="00211D60"/>
    <w:rsid w:val="00213125"/>
    <w:rsid w:val="0021385A"/>
    <w:rsid w:val="002146DE"/>
    <w:rsid w:val="002152AE"/>
    <w:rsid w:val="00215783"/>
    <w:rsid w:val="0021579A"/>
    <w:rsid w:val="00215CFB"/>
    <w:rsid w:val="002161B8"/>
    <w:rsid w:val="00216982"/>
    <w:rsid w:val="002178D7"/>
    <w:rsid w:val="0022096E"/>
    <w:rsid w:val="00220CFB"/>
    <w:rsid w:val="00221C5D"/>
    <w:rsid w:val="002232B9"/>
    <w:rsid w:val="00223B01"/>
    <w:rsid w:val="00223C67"/>
    <w:rsid w:val="00223E9E"/>
    <w:rsid w:val="00223FE6"/>
    <w:rsid w:val="00224EBF"/>
    <w:rsid w:val="002250A0"/>
    <w:rsid w:val="00226A46"/>
    <w:rsid w:val="00227047"/>
    <w:rsid w:val="00227115"/>
    <w:rsid w:val="00230167"/>
    <w:rsid w:val="002308FA"/>
    <w:rsid w:val="0023217C"/>
    <w:rsid w:val="0023220F"/>
    <w:rsid w:val="00233A58"/>
    <w:rsid w:val="00234DC8"/>
    <w:rsid w:val="00234F62"/>
    <w:rsid w:val="00235075"/>
    <w:rsid w:val="002352C3"/>
    <w:rsid w:val="0023592E"/>
    <w:rsid w:val="00235DD6"/>
    <w:rsid w:val="00235F79"/>
    <w:rsid w:val="00236A39"/>
    <w:rsid w:val="00240DCF"/>
    <w:rsid w:val="0024155C"/>
    <w:rsid w:val="00241C1C"/>
    <w:rsid w:val="002439C7"/>
    <w:rsid w:val="0024406F"/>
    <w:rsid w:val="0024410B"/>
    <w:rsid w:val="00245A86"/>
    <w:rsid w:val="0024649F"/>
    <w:rsid w:val="0024650C"/>
    <w:rsid w:val="0024691F"/>
    <w:rsid w:val="0025073C"/>
    <w:rsid w:val="002509F4"/>
    <w:rsid w:val="002510E7"/>
    <w:rsid w:val="00251E47"/>
    <w:rsid w:val="002522FB"/>
    <w:rsid w:val="002524C8"/>
    <w:rsid w:val="00252F7E"/>
    <w:rsid w:val="002534E9"/>
    <w:rsid w:val="00253776"/>
    <w:rsid w:val="00254ADF"/>
    <w:rsid w:val="002554D5"/>
    <w:rsid w:val="00257BF5"/>
    <w:rsid w:val="00257C10"/>
    <w:rsid w:val="0026091E"/>
    <w:rsid w:val="0026098B"/>
    <w:rsid w:val="00260EA0"/>
    <w:rsid w:val="00261224"/>
    <w:rsid w:val="002612DD"/>
    <w:rsid w:val="00261718"/>
    <w:rsid w:val="0026295E"/>
    <w:rsid w:val="00263680"/>
    <w:rsid w:val="00263EE5"/>
    <w:rsid w:val="00264BAC"/>
    <w:rsid w:val="002656C4"/>
    <w:rsid w:val="002659C2"/>
    <w:rsid w:val="00266378"/>
    <w:rsid w:val="0027027F"/>
    <w:rsid w:val="00271D40"/>
    <w:rsid w:val="00272AA6"/>
    <w:rsid w:val="00272C3B"/>
    <w:rsid w:val="00274473"/>
    <w:rsid w:val="00275682"/>
    <w:rsid w:val="00275694"/>
    <w:rsid w:val="002757F4"/>
    <w:rsid w:val="00275A14"/>
    <w:rsid w:val="002762F6"/>
    <w:rsid w:val="00276ACA"/>
    <w:rsid w:val="00276F5F"/>
    <w:rsid w:val="00280DB4"/>
    <w:rsid w:val="002816C0"/>
    <w:rsid w:val="00281FE0"/>
    <w:rsid w:val="00282933"/>
    <w:rsid w:val="00284873"/>
    <w:rsid w:val="0028670E"/>
    <w:rsid w:val="00287A92"/>
    <w:rsid w:val="00287D8A"/>
    <w:rsid w:val="0029051B"/>
    <w:rsid w:val="002915FF"/>
    <w:rsid w:val="0029170B"/>
    <w:rsid w:val="00291E37"/>
    <w:rsid w:val="002925F0"/>
    <w:rsid w:val="002933A8"/>
    <w:rsid w:val="00294730"/>
    <w:rsid w:val="00294933"/>
    <w:rsid w:val="00295A43"/>
    <w:rsid w:val="0029684F"/>
    <w:rsid w:val="00296DA7"/>
    <w:rsid w:val="00297291"/>
    <w:rsid w:val="002A05F7"/>
    <w:rsid w:val="002A3A0C"/>
    <w:rsid w:val="002A3F69"/>
    <w:rsid w:val="002A5082"/>
    <w:rsid w:val="002A7774"/>
    <w:rsid w:val="002A7BCA"/>
    <w:rsid w:val="002B0DDF"/>
    <w:rsid w:val="002B0F80"/>
    <w:rsid w:val="002B155D"/>
    <w:rsid w:val="002B1EE1"/>
    <w:rsid w:val="002B2543"/>
    <w:rsid w:val="002B401A"/>
    <w:rsid w:val="002B4CCE"/>
    <w:rsid w:val="002B5610"/>
    <w:rsid w:val="002B5F4E"/>
    <w:rsid w:val="002B6D71"/>
    <w:rsid w:val="002B75D4"/>
    <w:rsid w:val="002C03F1"/>
    <w:rsid w:val="002C23A4"/>
    <w:rsid w:val="002C2509"/>
    <w:rsid w:val="002C2521"/>
    <w:rsid w:val="002C2EBA"/>
    <w:rsid w:val="002C310B"/>
    <w:rsid w:val="002C4C06"/>
    <w:rsid w:val="002C4C1D"/>
    <w:rsid w:val="002C56F7"/>
    <w:rsid w:val="002C577E"/>
    <w:rsid w:val="002C591B"/>
    <w:rsid w:val="002C69A2"/>
    <w:rsid w:val="002D15A4"/>
    <w:rsid w:val="002D22F6"/>
    <w:rsid w:val="002D26EB"/>
    <w:rsid w:val="002D3B8C"/>
    <w:rsid w:val="002D3F61"/>
    <w:rsid w:val="002D63B3"/>
    <w:rsid w:val="002D691A"/>
    <w:rsid w:val="002E0077"/>
    <w:rsid w:val="002E00D4"/>
    <w:rsid w:val="002E0A34"/>
    <w:rsid w:val="002E0BB3"/>
    <w:rsid w:val="002E102E"/>
    <w:rsid w:val="002E1090"/>
    <w:rsid w:val="002E122A"/>
    <w:rsid w:val="002E1887"/>
    <w:rsid w:val="002E1EC2"/>
    <w:rsid w:val="002E2324"/>
    <w:rsid w:val="002E2A1C"/>
    <w:rsid w:val="002E2D73"/>
    <w:rsid w:val="002E4E65"/>
    <w:rsid w:val="002E51A5"/>
    <w:rsid w:val="002E53D2"/>
    <w:rsid w:val="002E674C"/>
    <w:rsid w:val="002E695E"/>
    <w:rsid w:val="002E776B"/>
    <w:rsid w:val="002E7AFE"/>
    <w:rsid w:val="002F016C"/>
    <w:rsid w:val="002F0359"/>
    <w:rsid w:val="002F109E"/>
    <w:rsid w:val="002F11C6"/>
    <w:rsid w:val="002F2293"/>
    <w:rsid w:val="002F2874"/>
    <w:rsid w:val="002F2E88"/>
    <w:rsid w:val="002F3390"/>
    <w:rsid w:val="002F3B0F"/>
    <w:rsid w:val="002F4AE8"/>
    <w:rsid w:val="002F4D5F"/>
    <w:rsid w:val="002F5A4F"/>
    <w:rsid w:val="002F60D0"/>
    <w:rsid w:val="002F7450"/>
    <w:rsid w:val="0030047A"/>
    <w:rsid w:val="00300482"/>
    <w:rsid w:val="003004C8"/>
    <w:rsid w:val="003006B8"/>
    <w:rsid w:val="0030150A"/>
    <w:rsid w:val="0030168F"/>
    <w:rsid w:val="00303639"/>
    <w:rsid w:val="003038A4"/>
    <w:rsid w:val="00305F06"/>
    <w:rsid w:val="00306540"/>
    <w:rsid w:val="003066BF"/>
    <w:rsid w:val="00306C2E"/>
    <w:rsid w:val="003070E4"/>
    <w:rsid w:val="00307F8D"/>
    <w:rsid w:val="00310AD4"/>
    <w:rsid w:val="00312102"/>
    <w:rsid w:val="003148E2"/>
    <w:rsid w:val="00315320"/>
    <w:rsid w:val="0031671A"/>
    <w:rsid w:val="00316845"/>
    <w:rsid w:val="00320D07"/>
    <w:rsid w:val="003210BD"/>
    <w:rsid w:val="00321BB4"/>
    <w:rsid w:val="00323FA4"/>
    <w:rsid w:val="00324330"/>
    <w:rsid w:val="00324BEC"/>
    <w:rsid w:val="00326A30"/>
    <w:rsid w:val="00326F4B"/>
    <w:rsid w:val="00327D4A"/>
    <w:rsid w:val="0033029F"/>
    <w:rsid w:val="00331889"/>
    <w:rsid w:val="003325B3"/>
    <w:rsid w:val="003328BD"/>
    <w:rsid w:val="003330B5"/>
    <w:rsid w:val="003338DA"/>
    <w:rsid w:val="00333D1C"/>
    <w:rsid w:val="003344DB"/>
    <w:rsid w:val="003349B3"/>
    <w:rsid w:val="00334D76"/>
    <w:rsid w:val="00335CC1"/>
    <w:rsid w:val="00335FD1"/>
    <w:rsid w:val="003362F2"/>
    <w:rsid w:val="0033642E"/>
    <w:rsid w:val="00336BDB"/>
    <w:rsid w:val="00336DED"/>
    <w:rsid w:val="00337791"/>
    <w:rsid w:val="00337822"/>
    <w:rsid w:val="003403FD"/>
    <w:rsid w:val="003406F6"/>
    <w:rsid w:val="0034146A"/>
    <w:rsid w:val="00341585"/>
    <w:rsid w:val="00343071"/>
    <w:rsid w:val="00343103"/>
    <w:rsid w:val="003433D4"/>
    <w:rsid w:val="003442A8"/>
    <w:rsid w:val="00345FDC"/>
    <w:rsid w:val="00346981"/>
    <w:rsid w:val="00351290"/>
    <w:rsid w:val="003526CD"/>
    <w:rsid w:val="003535A4"/>
    <w:rsid w:val="0035542D"/>
    <w:rsid w:val="003557EF"/>
    <w:rsid w:val="00355D6A"/>
    <w:rsid w:val="00355FA9"/>
    <w:rsid w:val="00356B9B"/>
    <w:rsid w:val="00356CCF"/>
    <w:rsid w:val="00357682"/>
    <w:rsid w:val="003617A7"/>
    <w:rsid w:val="003622FC"/>
    <w:rsid w:val="00362A1B"/>
    <w:rsid w:val="0036346A"/>
    <w:rsid w:val="00363528"/>
    <w:rsid w:val="003651FB"/>
    <w:rsid w:val="00366021"/>
    <w:rsid w:val="00366F43"/>
    <w:rsid w:val="003701DC"/>
    <w:rsid w:val="00370299"/>
    <w:rsid w:val="00370A29"/>
    <w:rsid w:val="00370A4B"/>
    <w:rsid w:val="003711AA"/>
    <w:rsid w:val="0037211F"/>
    <w:rsid w:val="00372EE6"/>
    <w:rsid w:val="003732DF"/>
    <w:rsid w:val="00373810"/>
    <w:rsid w:val="003746E6"/>
    <w:rsid w:val="00374A46"/>
    <w:rsid w:val="003770C5"/>
    <w:rsid w:val="00380371"/>
    <w:rsid w:val="003813D6"/>
    <w:rsid w:val="003815ED"/>
    <w:rsid w:val="00382CA7"/>
    <w:rsid w:val="003836AB"/>
    <w:rsid w:val="0038402C"/>
    <w:rsid w:val="00384D4C"/>
    <w:rsid w:val="00385365"/>
    <w:rsid w:val="003853A8"/>
    <w:rsid w:val="00385C4C"/>
    <w:rsid w:val="00386068"/>
    <w:rsid w:val="00386567"/>
    <w:rsid w:val="00387C5C"/>
    <w:rsid w:val="003900A3"/>
    <w:rsid w:val="003900FE"/>
    <w:rsid w:val="00390F07"/>
    <w:rsid w:val="00390FC4"/>
    <w:rsid w:val="00391245"/>
    <w:rsid w:val="003918AC"/>
    <w:rsid w:val="00391B64"/>
    <w:rsid w:val="003938D5"/>
    <w:rsid w:val="00394079"/>
    <w:rsid w:val="003946B3"/>
    <w:rsid w:val="00394755"/>
    <w:rsid w:val="00394CE6"/>
    <w:rsid w:val="00394D63"/>
    <w:rsid w:val="003A0042"/>
    <w:rsid w:val="003A07DD"/>
    <w:rsid w:val="003A0FBD"/>
    <w:rsid w:val="003A1965"/>
    <w:rsid w:val="003A1B08"/>
    <w:rsid w:val="003A1DF0"/>
    <w:rsid w:val="003A286C"/>
    <w:rsid w:val="003A3B3E"/>
    <w:rsid w:val="003A4AE3"/>
    <w:rsid w:val="003A5E44"/>
    <w:rsid w:val="003A63B5"/>
    <w:rsid w:val="003A7196"/>
    <w:rsid w:val="003A79EA"/>
    <w:rsid w:val="003A7F55"/>
    <w:rsid w:val="003B0CA6"/>
    <w:rsid w:val="003B0D1E"/>
    <w:rsid w:val="003B191F"/>
    <w:rsid w:val="003B3F26"/>
    <w:rsid w:val="003B4BD1"/>
    <w:rsid w:val="003B4DAD"/>
    <w:rsid w:val="003B6019"/>
    <w:rsid w:val="003B6712"/>
    <w:rsid w:val="003B6B74"/>
    <w:rsid w:val="003B7801"/>
    <w:rsid w:val="003C0A4B"/>
    <w:rsid w:val="003C0DA2"/>
    <w:rsid w:val="003C1CDD"/>
    <w:rsid w:val="003C26B1"/>
    <w:rsid w:val="003C2D8F"/>
    <w:rsid w:val="003C3358"/>
    <w:rsid w:val="003C371E"/>
    <w:rsid w:val="003C4905"/>
    <w:rsid w:val="003C49BE"/>
    <w:rsid w:val="003C510F"/>
    <w:rsid w:val="003C574C"/>
    <w:rsid w:val="003C63EA"/>
    <w:rsid w:val="003C6782"/>
    <w:rsid w:val="003C67D7"/>
    <w:rsid w:val="003C75BD"/>
    <w:rsid w:val="003D0066"/>
    <w:rsid w:val="003D0632"/>
    <w:rsid w:val="003D092C"/>
    <w:rsid w:val="003D0AFB"/>
    <w:rsid w:val="003D1325"/>
    <w:rsid w:val="003D15C6"/>
    <w:rsid w:val="003D2518"/>
    <w:rsid w:val="003D2EFE"/>
    <w:rsid w:val="003D37AB"/>
    <w:rsid w:val="003D3BDB"/>
    <w:rsid w:val="003D4363"/>
    <w:rsid w:val="003D5607"/>
    <w:rsid w:val="003D58EE"/>
    <w:rsid w:val="003D59B0"/>
    <w:rsid w:val="003D59CB"/>
    <w:rsid w:val="003D63C1"/>
    <w:rsid w:val="003D74DE"/>
    <w:rsid w:val="003D78F6"/>
    <w:rsid w:val="003D7A10"/>
    <w:rsid w:val="003D7BFB"/>
    <w:rsid w:val="003D7D0C"/>
    <w:rsid w:val="003D7D72"/>
    <w:rsid w:val="003E0FF7"/>
    <w:rsid w:val="003E16E7"/>
    <w:rsid w:val="003E1769"/>
    <w:rsid w:val="003E1D4B"/>
    <w:rsid w:val="003E29EA"/>
    <w:rsid w:val="003E517B"/>
    <w:rsid w:val="003E566E"/>
    <w:rsid w:val="003E65F5"/>
    <w:rsid w:val="003E6A09"/>
    <w:rsid w:val="003F05BB"/>
    <w:rsid w:val="003F12FE"/>
    <w:rsid w:val="003F3AE5"/>
    <w:rsid w:val="003F46B0"/>
    <w:rsid w:val="003F4C67"/>
    <w:rsid w:val="003F566C"/>
    <w:rsid w:val="003F6003"/>
    <w:rsid w:val="003F6FCF"/>
    <w:rsid w:val="003F715D"/>
    <w:rsid w:val="004008DB"/>
    <w:rsid w:val="004012A7"/>
    <w:rsid w:val="00405A23"/>
    <w:rsid w:val="00405B7A"/>
    <w:rsid w:val="0041007B"/>
    <w:rsid w:val="00410B19"/>
    <w:rsid w:val="004118D7"/>
    <w:rsid w:val="0041193F"/>
    <w:rsid w:val="00411ACE"/>
    <w:rsid w:val="00414402"/>
    <w:rsid w:val="00417352"/>
    <w:rsid w:val="00417559"/>
    <w:rsid w:val="00417EF4"/>
    <w:rsid w:val="00420086"/>
    <w:rsid w:val="00420FE2"/>
    <w:rsid w:val="00421561"/>
    <w:rsid w:val="00422C86"/>
    <w:rsid w:val="00423244"/>
    <w:rsid w:val="00423AF5"/>
    <w:rsid w:val="004241B8"/>
    <w:rsid w:val="00424404"/>
    <w:rsid w:val="00424FDA"/>
    <w:rsid w:val="00425993"/>
    <w:rsid w:val="0042611C"/>
    <w:rsid w:val="004262A9"/>
    <w:rsid w:val="0042742D"/>
    <w:rsid w:val="004274B5"/>
    <w:rsid w:val="004277C8"/>
    <w:rsid w:val="0043014C"/>
    <w:rsid w:val="004313FC"/>
    <w:rsid w:val="00431E52"/>
    <w:rsid w:val="004320BE"/>
    <w:rsid w:val="004325C3"/>
    <w:rsid w:val="00433060"/>
    <w:rsid w:val="004336B3"/>
    <w:rsid w:val="0043386B"/>
    <w:rsid w:val="00433ADD"/>
    <w:rsid w:val="004340BD"/>
    <w:rsid w:val="0043701F"/>
    <w:rsid w:val="0043726B"/>
    <w:rsid w:val="0043733B"/>
    <w:rsid w:val="004376F5"/>
    <w:rsid w:val="004412A0"/>
    <w:rsid w:val="004414C7"/>
    <w:rsid w:val="004419A9"/>
    <w:rsid w:val="004427F7"/>
    <w:rsid w:val="00442BC5"/>
    <w:rsid w:val="00444342"/>
    <w:rsid w:val="0044603D"/>
    <w:rsid w:val="00446427"/>
    <w:rsid w:val="00447BFE"/>
    <w:rsid w:val="0045042D"/>
    <w:rsid w:val="00450B55"/>
    <w:rsid w:val="00451B40"/>
    <w:rsid w:val="00451E74"/>
    <w:rsid w:val="00452423"/>
    <w:rsid w:val="00452475"/>
    <w:rsid w:val="00452F45"/>
    <w:rsid w:val="00453337"/>
    <w:rsid w:val="0045525B"/>
    <w:rsid w:val="00456D09"/>
    <w:rsid w:val="00457667"/>
    <w:rsid w:val="004601BA"/>
    <w:rsid w:val="0046021E"/>
    <w:rsid w:val="004602B5"/>
    <w:rsid w:val="00460820"/>
    <w:rsid w:val="00460AED"/>
    <w:rsid w:val="00461C22"/>
    <w:rsid w:val="00461EA5"/>
    <w:rsid w:val="00462AF1"/>
    <w:rsid w:val="00464D45"/>
    <w:rsid w:val="00464DFA"/>
    <w:rsid w:val="004651C8"/>
    <w:rsid w:val="00465924"/>
    <w:rsid w:val="00465ECD"/>
    <w:rsid w:val="00466433"/>
    <w:rsid w:val="00466978"/>
    <w:rsid w:val="00466BAB"/>
    <w:rsid w:val="0046777C"/>
    <w:rsid w:val="00467B3A"/>
    <w:rsid w:val="00467E13"/>
    <w:rsid w:val="00470627"/>
    <w:rsid w:val="004706C3"/>
    <w:rsid w:val="00470856"/>
    <w:rsid w:val="00470E03"/>
    <w:rsid w:val="00471AB8"/>
    <w:rsid w:val="00473FE6"/>
    <w:rsid w:val="0047439F"/>
    <w:rsid w:val="004743D2"/>
    <w:rsid w:val="00474D96"/>
    <w:rsid w:val="004759CD"/>
    <w:rsid w:val="00476121"/>
    <w:rsid w:val="00476666"/>
    <w:rsid w:val="00476DF9"/>
    <w:rsid w:val="004773AD"/>
    <w:rsid w:val="004779BD"/>
    <w:rsid w:val="00477A0A"/>
    <w:rsid w:val="00477BF1"/>
    <w:rsid w:val="00477EB2"/>
    <w:rsid w:val="00480512"/>
    <w:rsid w:val="0048077E"/>
    <w:rsid w:val="004808C2"/>
    <w:rsid w:val="004810BF"/>
    <w:rsid w:val="00481221"/>
    <w:rsid w:val="00481E87"/>
    <w:rsid w:val="004827B8"/>
    <w:rsid w:val="0048472A"/>
    <w:rsid w:val="0048521A"/>
    <w:rsid w:val="0048534F"/>
    <w:rsid w:val="004864D5"/>
    <w:rsid w:val="004864FC"/>
    <w:rsid w:val="00487D39"/>
    <w:rsid w:val="00490178"/>
    <w:rsid w:val="00490AE0"/>
    <w:rsid w:val="00490DA0"/>
    <w:rsid w:val="00491312"/>
    <w:rsid w:val="00491817"/>
    <w:rsid w:val="00492083"/>
    <w:rsid w:val="0049234B"/>
    <w:rsid w:val="0049295D"/>
    <w:rsid w:val="004932E0"/>
    <w:rsid w:val="00494AFC"/>
    <w:rsid w:val="00494D95"/>
    <w:rsid w:val="00495DC2"/>
    <w:rsid w:val="004A092C"/>
    <w:rsid w:val="004A1394"/>
    <w:rsid w:val="004A13A8"/>
    <w:rsid w:val="004A54A1"/>
    <w:rsid w:val="004A5E5D"/>
    <w:rsid w:val="004A7035"/>
    <w:rsid w:val="004B1471"/>
    <w:rsid w:val="004B17BB"/>
    <w:rsid w:val="004B1984"/>
    <w:rsid w:val="004B1D44"/>
    <w:rsid w:val="004B24FD"/>
    <w:rsid w:val="004B35BC"/>
    <w:rsid w:val="004B3B93"/>
    <w:rsid w:val="004B3BF5"/>
    <w:rsid w:val="004B4121"/>
    <w:rsid w:val="004B48B9"/>
    <w:rsid w:val="004B638C"/>
    <w:rsid w:val="004B6E8D"/>
    <w:rsid w:val="004B7CED"/>
    <w:rsid w:val="004C06A1"/>
    <w:rsid w:val="004C198D"/>
    <w:rsid w:val="004C202D"/>
    <w:rsid w:val="004C2DDB"/>
    <w:rsid w:val="004C2EBC"/>
    <w:rsid w:val="004C304E"/>
    <w:rsid w:val="004C4435"/>
    <w:rsid w:val="004C587B"/>
    <w:rsid w:val="004C75C2"/>
    <w:rsid w:val="004C7C0A"/>
    <w:rsid w:val="004D1998"/>
    <w:rsid w:val="004D1A3C"/>
    <w:rsid w:val="004D2CE1"/>
    <w:rsid w:val="004D2EF1"/>
    <w:rsid w:val="004D35B3"/>
    <w:rsid w:val="004D3B36"/>
    <w:rsid w:val="004D3CB4"/>
    <w:rsid w:val="004D4E7E"/>
    <w:rsid w:val="004D515B"/>
    <w:rsid w:val="004D5808"/>
    <w:rsid w:val="004D5DCF"/>
    <w:rsid w:val="004D6537"/>
    <w:rsid w:val="004D77B8"/>
    <w:rsid w:val="004D7B8F"/>
    <w:rsid w:val="004D7F4E"/>
    <w:rsid w:val="004E03D5"/>
    <w:rsid w:val="004E0566"/>
    <w:rsid w:val="004E0686"/>
    <w:rsid w:val="004E0792"/>
    <w:rsid w:val="004E1828"/>
    <w:rsid w:val="004E19F9"/>
    <w:rsid w:val="004E26D0"/>
    <w:rsid w:val="004E2D4B"/>
    <w:rsid w:val="004E3A1A"/>
    <w:rsid w:val="004E565F"/>
    <w:rsid w:val="004E5B42"/>
    <w:rsid w:val="004E60C1"/>
    <w:rsid w:val="004E648E"/>
    <w:rsid w:val="004E6CA6"/>
    <w:rsid w:val="004E72FB"/>
    <w:rsid w:val="004E75B3"/>
    <w:rsid w:val="004F0EA1"/>
    <w:rsid w:val="004F136C"/>
    <w:rsid w:val="004F21D5"/>
    <w:rsid w:val="004F375F"/>
    <w:rsid w:val="004F3A63"/>
    <w:rsid w:val="004F3BCD"/>
    <w:rsid w:val="004F3C00"/>
    <w:rsid w:val="004F43F8"/>
    <w:rsid w:val="004F52F7"/>
    <w:rsid w:val="004F5657"/>
    <w:rsid w:val="004F5ED1"/>
    <w:rsid w:val="004F5FC5"/>
    <w:rsid w:val="004F6339"/>
    <w:rsid w:val="004F6CBC"/>
    <w:rsid w:val="004F71F0"/>
    <w:rsid w:val="004F7387"/>
    <w:rsid w:val="004F75A3"/>
    <w:rsid w:val="00500E10"/>
    <w:rsid w:val="00501870"/>
    <w:rsid w:val="00502548"/>
    <w:rsid w:val="005026A1"/>
    <w:rsid w:val="005031FA"/>
    <w:rsid w:val="00503660"/>
    <w:rsid w:val="005036CC"/>
    <w:rsid w:val="00503E89"/>
    <w:rsid w:val="0050496F"/>
    <w:rsid w:val="00505CBD"/>
    <w:rsid w:val="005066E0"/>
    <w:rsid w:val="00507011"/>
    <w:rsid w:val="005070DB"/>
    <w:rsid w:val="00507196"/>
    <w:rsid w:val="005074C9"/>
    <w:rsid w:val="00510239"/>
    <w:rsid w:val="00510748"/>
    <w:rsid w:val="005118A2"/>
    <w:rsid w:val="005119E1"/>
    <w:rsid w:val="00511C70"/>
    <w:rsid w:val="005121AF"/>
    <w:rsid w:val="005121BA"/>
    <w:rsid w:val="005139FE"/>
    <w:rsid w:val="00513CC2"/>
    <w:rsid w:val="00515620"/>
    <w:rsid w:val="005159F5"/>
    <w:rsid w:val="0051600E"/>
    <w:rsid w:val="0051605D"/>
    <w:rsid w:val="00517B4F"/>
    <w:rsid w:val="00520E61"/>
    <w:rsid w:val="00523BE6"/>
    <w:rsid w:val="00524047"/>
    <w:rsid w:val="005249D1"/>
    <w:rsid w:val="005254EC"/>
    <w:rsid w:val="00525AFD"/>
    <w:rsid w:val="00526A39"/>
    <w:rsid w:val="00527204"/>
    <w:rsid w:val="005302A5"/>
    <w:rsid w:val="00530ED0"/>
    <w:rsid w:val="005311A9"/>
    <w:rsid w:val="00531A79"/>
    <w:rsid w:val="00532396"/>
    <w:rsid w:val="00533344"/>
    <w:rsid w:val="005337F1"/>
    <w:rsid w:val="00533B96"/>
    <w:rsid w:val="00533D74"/>
    <w:rsid w:val="00533E0C"/>
    <w:rsid w:val="0053418D"/>
    <w:rsid w:val="00534424"/>
    <w:rsid w:val="00534A98"/>
    <w:rsid w:val="00536170"/>
    <w:rsid w:val="00536CBF"/>
    <w:rsid w:val="00537369"/>
    <w:rsid w:val="00537E90"/>
    <w:rsid w:val="0054038B"/>
    <w:rsid w:val="00540621"/>
    <w:rsid w:val="00541267"/>
    <w:rsid w:val="0054185B"/>
    <w:rsid w:val="00542695"/>
    <w:rsid w:val="00542866"/>
    <w:rsid w:val="005428E3"/>
    <w:rsid w:val="005445BA"/>
    <w:rsid w:val="0054479F"/>
    <w:rsid w:val="0054603B"/>
    <w:rsid w:val="00546250"/>
    <w:rsid w:val="005476AA"/>
    <w:rsid w:val="0055092D"/>
    <w:rsid w:val="00550C62"/>
    <w:rsid w:val="005533A4"/>
    <w:rsid w:val="00554377"/>
    <w:rsid w:val="00557819"/>
    <w:rsid w:val="00557907"/>
    <w:rsid w:val="005607E5"/>
    <w:rsid w:val="00561C5F"/>
    <w:rsid w:val="00562638"/>
    <w:rsid w:val="00563CDF"/>
    <w:rsid w:val="00563DE6"/>
    <w:rsid w:val="00563EC8"/>
    <w:rsid w:val="00564DE5"/>
    <w:rsid w:val="0056791C"/>
    <w:rsid w:val="00567A5A"/>
    <w:rsid w:val="005714F1"/>
    <w:rsid w:val="00571F70"/>
    <w:rsid w:val="00573132"/>
    <w:rsid w:val="00576786"/>
    <w:rsid w:val="00576ADD"/>
    <w:rsid w:val="00576FB1"/>
    <w:rsid w:val="0058062F"/>
    <w:rsid w:val="00580677"/>
    <w:rsid w:val="005806B8"/>
    <w:rsid w:val="00580A4C"/>
    <w:rsid w:val="00581047"/>
    <w:rsid w:val="005811D0"/>
    <w:rsid w:val="00581546"/>
    <w:rsid w:val="00582645"/>
    <w:rsid w:val="00583CED"/>
    <w:rsid w:val="005842DB"/>
    <w:rsid w:val="00584E5F"/>
    <w:rsid w:val="00584EA8"/>
    <w:rsid w:val="00586E30"/>
    <w:rsid w:val="0058727B"/>
    <w:rsid w:val="005904E6"/>
    <w:rsid w:val="00590723"/>
    <w:rsid w:val="00590A24"/>
    <w:rsid w:val="00591E59"/>
    <w:rsid w:val="005930EF"/>
    <w:rsid w:val="00593BD5"/>
    <w:rsid w:val="00594438"/>
    <w:rsid w:val="00595667"/>
    <w:rsid w:val="0059569B"/>
    <w:rsid w:val="00596121"/>
    <w:rsid w:val="00596513"/>
    <w:rsid w:val="005A166C"/>
    <w:rsid w:val="005A19A8"/>
    <w:rsid w:val="005A38E1"/>
    <w:rsid w:val="005A50E1"/>
    <w:rsid w:val="005A6EEA"/>
    <w:rsid w:val="005B0509"/>
    <w:rsid w:val="005B06C9"/>
    <w:rsid w:val="005B08BA"/>
    <w:rsid w:val="005B1778"/>
    <w:rsid w:val="005B2795"/>
    <w:rsid w:val="005B2ABA"/>
    <w:rsid w:val="005B2D32"/>
    <w:rsid w:val="005B3926"/>
    <w:rsid w:val="005B4FE1"/>
    <w:rsid w:val="005B608E"/>
    <w:rsid w:val="005B68CF"/>
    <w:rsid w:val="005B697B"/>
    <w:rsid w:val="005C0036"/>
    <w:rsid w:val="005C033C"/>
    <w:rsid w:val="005C09DA"/>
    <w:rsid w:val="005C0D03"/>
    <w:rsid w:val="005C1267"/>
    <w:rsid w:val="005C16E1"/>
    <w:rsid w:val="005C2111"/>
    <w:rsid w:val="005C2429"/>
    <w:rsid w:val="005C4477"/>
    <w:rsid w:val="005C5C3C"/>
    <w:rsid w:val="005C5C69"/>
    <w:rsid w:val="005C5DB4"/>
    <w:rsid w:val="005C7307"/>
    <w:rsid w:val="005C7B6A"/>
    <w:rsid w:val="005C7CFC"/>
    <w:rsid w:val="005D0DFD"/>
    <w:rsid w:val="005D0E36"/>
    <w:rsid w:val="005D0EA2"/>
    <w:rsid w:val="005D24DE"/>
    <w:rsid w:val="005D2C86"/>
    <w:rsid w:val="005D4755"/>
    <w:rsid w:val="005D4C2F"/>
    <w:rsid w:val="005D5186"/>
    <w:rsid w:val="005D5959"/>
    <w:rsid w:val="005D5F78"/>
    <w:rsid w:val="005D68A1"/>
    <w:rsid w:val="005D69CF"/>
    <w:rsid w:val="005D6E23"/>
    <w:rsid w:val="005D749D"/>
    <w:rsid w:val="005E1926"/>
    <w:rsid w:val="005E1AD8"/>
    <w:rsid w:val="005E484D"/>
    <w:rsid w:val="005E4F92"/>
    <w:rsid w:val="005E601F"/>
    <w:rsid w:val="005E6667"/>
    <w:rsid w:val="005E6E4F"/>
    <w:rsid w:val="005E75E1"/>
    <w:rsid w:val="005E7B1C"/>
    <w:rsid w:val="005F0205"/>
    <w:rsid w:val="005F0265"/>
    <w:rsid w:val="005F0708"/>
    <w:rsid w:val="005F0B49"/>
    <w:rsid w:val="005F0B8F"/>
    <w:rsid w:val="005F33C8"/>
    <w:rsid w:val="005F5174"/>
    <w:rsid w:val="005F5357"/>
    <w:rsid w:val="006006F2"/>
    <w:rsid w:val="006035C7"/>
    <w:rsid w:val="00604486"/>
    <w:rsid w:val="00604601"/>
    <w:rsid w:val="006052ED"/>
    <w:rsid w:val="00606309"/>
    <w:rsid w:val="00606396"/>
    <w:rsid w:val="0060676E"/>
    <w:rsid w:val="00606D0F"/>
    <w:rsid w:val="00606DC9"/>
    <w:rsid w:val="00607289"/>
    <w:rsid w:val="00607D08"/>
    <w:rsid w:val="0061000C"/>
    <w:rsid w:val="0061126E"/>
    <w:rsid w:val="006116D6"/>
    <w:rsid w:val="00611AC2"/>
    <w:rsid w:val="00612253"/>
    <w:rsid w:val="0061249C"/>
    <w:rsid w:val="00613779"/>
    <w:rsid w:val="00613A90"/>
    <w:rsid w:val="00614964"/>
    <w:rsid w:val="00614EF6"/>
    <w:rsid w:val="00614F5A"/>
    <w:rsid w:val="0061614A"/>
    <w:rsid w:val="00620825"/>
    <w:rsid w:val="00620CBD"/>
    <w:rsid w:val="00620D22"/>
    <w:rsid w:val="00621345"/>
    <w:rsid w:val="00625A4B"/>
    <w:rsid w:val="00626628"/>
    <w:rsid w:val="00626964"/>
    <w:rsid w:val="00627E6A"/>
    <w:rsid w:val="00627ED4"/>
    <w:rsid w:val="00630A55"/>
    <w:rsid w:val="00631F88"/>
    <w:rsid w:val="00632D4E"/>
    <w:rsid w:val="00633892"/>
    <w:rsid w:val="00635702"/>
    <w:rsid w:val="00635BAA"/>
    <w:rsid w:val="006369A1"/>
    <w:rsid w:val="00637BD9"/>
    <w:rsid w:val="00637D77"/>
    <w:rsid w:val="00641501"/>
    <w:rsid w:val="006433F4"/>
    <w:rsid w:val="00643851"/>
    <w:rsid w:val="00644352"/>
    <w:rsid w:val="006446E3"/>
    <w:rsid w:val="00644916"/>
    <w:rsid w:val="00645564"/>
    <w:rsid w:val="006457C0"/>
    <w:rsid w:val="00645802"/>
    <w:rsid w:val="006460D7"/>
    <w:rsid w:val="00646550"/>
    <w:rsid w:val="00646FFA"/>
    <w:rsid w:val="006506E4"/>
    <w:rsid w:val="00650E97"/>
    <w:rsid w:val="00651C91"/>
    <w:rsid w:val="0065297C"/>
    <w:rsid w:val="00652FD8"/>
    <w:rsid w:val="006541D1"/>
    <w:rsid w:val="0065446A"/>
    <w:rsid w:val="00654778"/>
    <w:rsid w:val="00654E27"/>
    <w:rsid w:val="00655BB0"/>
    <w:rsid w:val="00655DA5"/>
    <w:rsid w:val="00656D66"/>
    <w:rsid w:val="00656D8A"/>
    <w:rsid w:val="0065704C"/>
    <w:rsid w:val="00657690"/>
    <w:rsid w:val="00657B15"/>
    <w:rsid w:val="0066396D"/>
    <w:rsid w:val="0066443B"/>
    <w:rsid w:val="00665ABC"/>
    <w:rsid w:val="00666000"/>
    <w:rsid w:val="0066633C"/>
    <w:rsid w:val="00667523"/>
    <w:rsid w:val="00667A2E"/>
    <w:rsid w:val="006703B5"/>
    <w:rsid w:val="006705DA"/>
    <w:rsid w:val="0067071A"/>
    <w:rsid w:val="006708AB"/>
    <w:rsid w:val="00671D1F"/>
    <w:rsid w:val="006728B5"/>
    <w:rsid w:val="00672B3A"/>
    <w:rsid w:val="00673164"/>
    <w:rsid w:val="00673206"/>
    <w:rsid w:val="00673928"/>
    <w:rsid w:val="00673C18"/>
    <w:rsid w:val="00673F51"/>
    <w:rsid w:val="00674B2E"/>
    <w:rsid w:val="00675379"/>
    <w:rsid w:val="006761D2"/>
    <w:rsid w:val="00676CB1"/>
    <w:rsid w:val="00676CE8"/>
    <w:rsid w:val="00676E43"/>
    <w:rsid w:val="00677476"/>
    <w:rsid w:val="00677876"/>
    <w:rsid w:val="00680275"/>
    <w:rsid w:val="0068031B"/>
    <w:rsid w:val="006810A3"/>
    <w:rsid w:val="00681D3A"/>
    <w:rsid w:val="0068338E"/>
    <w:rsid w:val="006834E0"/>
    <w:rsid w:val="00683D01"/>
    <w:rsid w:val="00685307"/>
    <w:rsid w:val="00685637"/>
    <w:rsid w:val="00685D0C"/>
    <w:rsid w:val="00686F7A"/>
    <w:rsid w:val="00687062"/>
    <w:rsid w:val="006873FF"/>
    <w:rsid w:val="006909F8"/>
    <w:rsid w:val="006915CF"/>
    <w:rsid w:val="00692F23"/>
    <w:rsid w:val="0069313A"/>
    <w:rsid w:val="00694F88"/>
    <w:rsid w:val="00695128"/>
    <w:rsid w:val="006958DE"/>
    <w:rsid w:val="00695BCF"/>
    <w:rsid w:val="00695E35"/>
    <w:rsid w:val="00697FCF"/>
    <w:rsid w:val="006A0518"/>
    <w:rsid w:val="006A0CD7"/>
    <w:rsid w:val="006A1E11"/>
    <w:rsid w:val="006A2765"/>
    <w:rsid w:val="006A2797"/>
    <w:rsid w:val="006A3FB7"/>
    <w:rsid w:val="006A459C"/>
    <w:rsid w:val="006A5013"/>
    <w:rsid w:val="006A514B"/>
    <w:rsid w:val="006A5D6A"/>
    <w:rsid w:val="006A6A3B"/>
    <w:rsid w:val="006A6DA1"/>
    <w:rsid w:val="006A70CE"/>
    <w:rsid w:val="006B01E4"/>
    <w:rsid w:val="006B01F4"/>
    <w:rsid w:val="006B0FC3"/>
    <w:rsid w:val="006B170F"/>
    <w:rsid w:val="006B40BE"/>
    <w:rsid w:val="006B4AAF"/>
    <w:rsid w:val="006B501A"/>
    <w:rsid w:val="006B50BF"/>
    <w:rsid w:val="006B6795"/>
    <w:rsid w:val="006B6D45"/>
    <w:rsid w:val="006B6F7F"/>
    <w:rsid w:val="006B7484"/>
    <w:rsid w:val="006C098C"/>
    <w:rsid w:val="006C131F"/>
    <w:rsid w:val="006C223E"/>
    <w:rsid w:val="006C68AA"/>
    <w:rsid w:val="006C6B56"/>
    <w:rsid w:val="006D071C"/>
    <w:rsid w:val="006D3200"/>
    <w:rsid w:val="006D32C9"/>
    <w:rsid w:val="006D411A"/>
    <w:rsid w:val="006D5F0F"/>
    <w:rsid w:val="006D6566"/>
    <w:rsid w:val="006D6731"/>
    <w:rsid w:val="006D7204"/>
    <w:rsid w:val="006E03BA"/>
    <w:rsid w:val="006E04E5"/>
    <w:rsid w:val="006E143C"/>
    <w:rsid w:val="006E1E9E"/>
    <w:rsid w:val="006E215B"/>
    <w:rsid w:val="006E35E7"/>
    <w:rsid w:val="006E4D6B"/>
    <w:rsid w:val="006E6CD2"/>
    <w:rsid w:val="006E6D8A"/>
    <w:rsid w:val="006F079D"/>
    <w:rsid w:val="006F07E3"/>
    <w:rsid w:val="006F091F"/>
    <w:rsid w:val="006F1262"/>
    <w:rsid w:val="006F136B"/>
    <w:rsid w:val="006F1B1E"/>
    <w:rsid w:val="006F2A49"/>
    <w:rsid w:val="006F346B"/>
    <w:rsid w:val="006F3A8E"/>
    <w:rsid w:val="006F41AE"/>
    <w:rsid w:val="006F4607"/>
    <w:rsid w:val="006F4F56"/>
    <w:rsid w:val="006F636A"/>
    <w:rsid w:val="006F7668"/>
    <w:rsid w:val="006F78B8"/>
    <w:rsid w:val="007017E1"/>
    <w:rsid w:val="00701F73"/>
    <w:rsid w:val="00703417"/>
    <w:rsid w:val="00703DAB"/>
    <w:rsid w:val="00704713"/>
    <w:rsid w:val="00705093"/>
    <w:rsid w:val="00705E19"/>
    <w:rsid w:val="00705ED7"/>
    <w:rsid w:val="007070D5"/>
    <w:rsid w:val="00710724"/>
    <w:rsid w:val="00710D49"/>
    <w:rsid w:val="00711162"/>
    <w:rsid w:val="00711309"/>
    <w:rsid w:val="00711414"/>
    <w:rsid w:val="00711E3A"/>
    <w:rsid w:val="00711E82"/>
    <w:rsid w:val="00712A16"/>
    <w:rsid w:val="007130A6"/>
    <w:rsid w:val="0071333D"/>
    <w:rsid w:val="00713377"/>
    <w:rsid w:val="00713565"/>
    <w:rsid w:val="007135FE"/>
    <w:rsid w:val="00713B18"/>
    <w:rsid w:val="00713C1A"/>
    <w:rsid w:val="007143BA"/>
    <w:rsid w:val="0071477D"/>
    <w:rsid w:val="007154F0"/>
    <w:rsid w:val="0071578E"/>
    <w:rsid w:val="00716B1C"/>
    <w:rsid w:val="007174DC"/>
    <w:rsid w:val="00717950"/>
    <w:rsid w:val="00720760"/>
    <w:rsid w:val="00722AD4"/>
    <w:rsid w:val="007230FE"/>
    <w:rsid w:val="007237C7"/>
    <w:rsid w:val="00724102"/>
    <w:rsid w:val="007244EC"/>
    <w:rsid w:val="007248CE"/>
    <w:rsid w:val="00726968"/>
    <w:rsid w:val="007270E4"/>
    <w:rsid w:val="007302F0"/>
    <w:rsid w:val="00730F46"/>
    <w:rsid w:val="007310A7"/>
    <w:rsid w:val="007315E0"/>
    <w:rsid w:val="00732C0A"/>
    <w:rsid w:val="00733D9D"/>
    <w:rsid w:val="0073454A"/>
    <w:rsid w:val="00734C64"/>
    <w:rsid w:val="00734E48"/>
    <w:rsid w:val="00734F83"/>
    <w:rsid w:val="007353A3"/>
    <w:rsid w:val="00735444"/>
    <w:rsid w:val="00735C29"/>
    <w:rsid w:val="00736036"/>
    <w:rsid w:val="007370C8"/>
    <w:rsid w:val="00737109"/>
    <w:rsid w:val="00737167"/>
    <w:rsid w:val="007372EA"/>
    <w:rsid w:val="00737505"/>
    <w:rsid w:val="00740DE8"/>
    <w:rsid w:val="007419EB"/>
    <w:rsid w:val="00741AFE"/>
    <w:rsid w:val="0074288A"/>
    <w:rsid w:val="00742912"/>
    <w:rsid w:val="00742BDF"/>
    <w:rsid w:val="00747AC3"/>
    <w:rsid w:val="0075080E"/>
    <w:rsid w:val="00750A55"/>
    <w:rsid w:val="00754113"/>
    <w:rsid w:val="0075511E"/>
    <w:rsid w:val="0075583B"/>
    <w:rsid w:val="007560A7"/>
    <w:rsid w:val="00756581"/>
    <w:rsid w:val="00757193"/>
    <w:rsid w:val="00757FF9"/>
    <w:rsid w:val="007614B3"/>
    <w:rsid w:val="007614CF"/>
    <w:rsid w:val="00762887"/>
    <w:rsid w:val="007631FF"/>
    <w:rsid w:val="00763DAF"/>
    <w:rsid w:val="00764DFD"/>
    <w:rsid w:val="00764FA9"/>
    <w:rsid w:val="007658A4"/>
    <w:rsid w:val="0076604B"/>
    <w:rsid w:val="00766183"/>
    <w:rsid w:val="00766218"/>
    <w:rsid w:val="00770004"/>
    <w:rsid w:val="007700EE"/>
    <w:rsid w:val="0077079A"/>
    <w:rsid w:val="0077538A"/>
    <w:rsid w:val="00775C93"/>
    <w:rsid w:val="00777198"/>
    <w:rsid w:val="00777BD6"/>
    <w:rsid w:val="00780794"/>
    <w:rsid w:val="00780BBC"/>
    <w:rsid w:val="00781421"/>
    <w:rsid w:val="00781493"/>
    <w:rsid w:val="007814F1"/>
    <w:rsid w:val="00783477"/>
    <w:rsid w:val="0078354C"/>
    <w:rsid w:val="007843B3"/>
    <w:rsid w:val="00785CA6"/>
    <w:rsid w:val="0078669C"/>
    <w:rsid w:val="00786F93"/>
    <w:rsid w:val="007873B9"/>
    <w:rsid w:val="00787DCA"/>
    <w:rsid w:val="00790362"/>
    <w:rsid w:val="0079036E"/>
    <w:rsid w:val="00790A2A"/>
    <w:rsid w:val="00790B7D"/>
    <w:rsid w:val="0079308A"/>
    <w:rsid w:val="00793AB2"/>
    <w:rsid w:val="00793AC6"/>
    <w:rsid w:val="007967E2"/>
    <w:rsid w:val="007A1319"/>
    <w:rsid w:val="007A1569"/>
    <w:rsid w:val="007A3014"/>
    <w:rsid w:val="007A32BB"/>
    <w:rsid w:val="007A41FC"/>
    <w:rsid w:val="007A43BA"/>
    <w:rsid w:val="007A4D80"/>
    <w:rsid w:val="007A682F"/>
    <w:rsid w:val="007B03F7"/>
    <w:rsid w:val="007B2279"/>
    <w:rsid w:val="007B22B0"/>
    <w:rsid w:val="007B239F"/>
    <w:rsid w:val="007B34FC"/>
    <w:rsid w:val="007B4F89"/>
    <w:rsid w:val="007B579C"/>
    <w:rsid w:val="007B5D9B"/>
    <w:rsid w:val="007B70D0"/>
    <w:rsid w:val="007C0AB0"/>
    <w:rsid w:val="007C3169"/>
    <w:rsid w:val="007C372E"/>
    <w:rsid w:val="007C3BD5"/>
    <w:rsid w:val="007C3D9D"/>
    <w:rsid w:val="007C403B"/>
    <w:rsid w:val="007C40DD"/>
    <w:rsid w:val="007C4381"/>
    <w:rsid w:val="007C4DB8"/>
    <w:rsid w:val="007C5461"/>
    <w:rsid w:val="007C66E0"/>
    <w:rsid w:val="007C6BB6"/>
    <w:rsid w:val="007C7040"/>
    <w:rsid w:val="007D0582"/>
    <w:rsid w:val="007D1838"/>
    <w:rsid w:val="007D218C"/>
    <w:rsid w:val="007D28A7"/>
    <w:rsid w:val="007D3BDD"/>
    <w:rsid w:val="007D3C6B"/>
    <w:rsid w:val="007D4212"/>
    <w:rsid w:val="007D4BF4"/>
    <w:rsid w:val="007D4DD0"/>
    <w:rsid w:val="007D5049"/>
    <w:rsid w:val="007D520E"/>
    <w:rsid w:val="007D5579"/>
    <w:rsid w:val="007D6159"/>
    <w:rsid w:val="007D721B"/>
    <w:rsid w:val="007D7428"/>
    <w:rsid w:val="007D7523"/>
    <w:rsid w:val="007E1421"/>
    <w:rsid w:val="007E5ABD"/>
    <w:rsid w:val="007E5D3D"/>
    <w:rsid w:val="007E6D15"/>
    <w:rsid w:val="007E6D4C"/>
    <w:rsid w:val="007E7FFC"/>
    <w:rsid w:val="007F0D69"/>
    <w:rsid w:val="007F0EAB"/>
    <w:rsid w:val="007F0F99"/>
    <w:rsid w:val="007F18FB"/>
    <w:rsid w:val="007F2484"/>
    <w:rsid w:val="007F48E5"/>
    <w:rsid w:val="007F510B"/>
    <w:rsid w:val="007F5C6B"/>
    <w:rsid w:val="007F6392"/>
    <w:rsid w:val="007F63C1"/>
    <w:rsid w:val="007F6BD9"/>
    <w:rsid w:val="007F6F08"/>
    <w:rsid w:val="00801253"/>
    <w:rsid w:val="00801E64"/>
    <w:rsid w:val="00802D44"/>
    <w:rsid w:val="008038D6"/>
    <w:rsid w:val="00803A5D"/>
    <w:rsid w:val="00805746"/>
    <w:rsid w:val="0080614A"/>
    <w:rsid w:val="008063A1"/>
    <w:rsid w:val="008076E3"/>
    <w:rsid w:val="00810C5A"/>
    <w:rsid w:val="00811894"/>
    <w:rsid w:val="00811C2E"/>
    <w:rsid w:val="00812133"/>
    <w:rsid w:val="00812258"/>
    <w:rsid w:val="008130D4"/>
    <w:rsid w:val="00813392"/>
    <w:rsid w:val="00813F4C"/>
    <w:rsid w:val="00814B41"/>
    <w:rsid w:val="00815B5D"/>
    <w:rsid w:val="00815B89"/>
    <w:rsid w:val="00816657"/>
    <w:rsid w:val="0081694C"/>
    <w:rsid w:val="008169B0"/>
    <w:rsid w:val="00820BDA"/>
    <w:rsid w:val="00820CBA"/>
    <w:rsid w:val="00821982"/>
    <w:rsid w:val="008219E2"/>
    <w:rsid w:val="008224D5"/>
    <w:rsid w:val="00823C10"/>
    <w:rsid w:val="00824AED"/>
    <w:rsid w:val="00825346"/>
    <w:rsid w:val="00826559"/>
    <w:rsid w:val="0082699A"/>
    <w:rsid w:val="0083021E"/>
    <w:rsid w:val="00830D49"/>
    <w:rsid w:val="00832968"/>
    <w:rsid w:val="00832D16"/>
    <w:rsid w:val="00833135"/>
    <w:rsid w:val="00833B60"/>
    <w:rsid w:val="00834709"/>
    <w:rsid w:val="00836132"/>
    <w:rsid w:val="00836509"/>
    <w:rsid w:val="00836E49"/>
    <w:rsid w:val="00837765"/>
    <w:rsid w:val="0084073E"/>
    <w:rsid w:val="00842036"/>
    <w:rsid w:val="008426E8"/>
    <w:rsid w:val="00843465"/>
    <w:rsid w:val="00843F9C"/>
    <w:rsid w:val="00844E91"/>
    <w:rsid w:val="008473BB"/>
    <w:rsid w:val="008503FA"/>
    <w:rsid w:val="00851187"/>
    <w:rsid w:val="008529DF"/>
    <w:rsid w:val="00853B5A"/>
    <w:rsid w:val="00853CF3"/>
    <w:rsid w:val="00853EBE"/>
    <w:rsid w:val="008563E9"/>
    <w:rsid w:val="008571A9"/>
    <w:rsid w:val="00857B4F"/>
    <w:rsid w:val="00860937"/>
    <w:rsid w:val="00860ABC"/>
    <w:rsid w:val="008616B0"/>
    <w:rsid w:val="00863484"/>
    <w:rsid w:val="008642D8"/>
    <w:rsid w:val="008655A6"/>
    <w:rsid w:val="00866527"/>
    <w:rsid w:val="00867882"/>
    <w:rsid w:val="00867D68"/>
    <w:rsid w:val="00867F3D"/>
    <w:rsid w:val="00870671"/>
    <w:rsid w:val="008708CC"/>
    <w:rsid w:val="00871285"/>
    <w:rsid w:val="00871E51"/>
    <w:rsid w:val="00872344"/>
    <w:rsid w:val="008723C2"/>
    <w:rsid w:val="00872D04"/>
    <w:rsid w:val="00873394"/>
    <w:rsid w:val="008739A8"/>
    <w:rsid w:val="008740E8"/>
    <w:rsid w:val="00875430"/>
    <w:rsid w:val="00875C14"/>
    <w:rsid w:val="00877BF2"/>
    <w:rsid w:val="00880529"/>
    <w:rsid w:val="00880F1D"/>
    <w:rsid w:val="00882720"/>
    <w:rsid w:val="008827FF"/>
    <w:rsid w:val="00882855"/>
    <w:rsid w:val="00883D62"/>
    <w:rsid w:val="00883F27"/>
    <w:rsid w:val="00884158"/>
    <w:rsid w:val="00884592"/>
    <w:rsid w:val="00884C37"/>
    <w:rsid w:val="00885142"/>
    <w:rsid w:val="00885348"/>
    <w:rsid w:val="008854C6"/>
    <w:rsid w:val="00885506"/>
    <w:rsid w:val="00886AAF"/>
    <w:rsid w:val="00887C6B"/>
    <w:rsid w:val="00887E1D"/>
    <w:rsid w:val="00890D13"/>
    <w:rsid w:val="00893753"/>
    <w:rsid w:val="0089496D"/>
    <w:rsid w:val="00894C11"/>
    <w:rsid w:val="00895755"/>
    <w:rsid w:val="00895905"/>
    <w:rsid w:val="00896198"/>
    <w:rsid w:val="00896D40"/>
    <w:rsid w:val="00897DC2"/>
    <w:rsid w:val="008A014D"/>
    <w:rsid w:val="008A07CE"/>
    <w:rsid w:val="008A1202"/>
    <w:rsid w:val="008A1E27"/>
    <w:rsid w:val="008A3D80"/>
    <w:rsid w:val="008A3D92"/>
    <w:rsid w:val="008A45B4"/>
    <w:rsid w:val="008A4E24"/>
    <w:rsid w:val="008A4E70"/>
    <w:rsid w:val="008A6F5E"/>
    <w:rsid w:val="008B1030"/>
    <w:rsid w:val="008B1AC5"/>
    <w:rsid w:val="008B1B3C"/>
    <w:rsid w:val="008B1F84"/>
    <w:rsid w:val="008B451C"/>
    <w:rsid w:val="008B4940"/>
    <w:rsid w:val="008B4E74"/>
    <w:rsid w:val="008B50F2"/>
    <w:rsid w:val="008B52C4"/>
    <w:rsid w:val="008B6356"/>
    <w:rsid w:val="008B70DE"/>
    <w:rsid w:val="008B787E"/>
    <w:rsid w:val="008C2335"/>
    <w:rsid w:val="008C3146"/>
    <w:rsid w:val="008C3341"/>
    <w:rsid w:val="008C5D84"/>
    <w:rsid w:val="008C75E5"/>
    <w:rsid w:val="008C7E0C"/>
    <w:rsid w:val="008C7E8C"/>
    <w:rsid w:val="008D16BE"/>
    <w:rsid w:val="008D1E46"/>
    <w:rsid w:val="008D3856"/>
    <w:rsid w:val="008D5148"/>
    <w:rsid w:val="008D54F5"/>
    <w:rsid w:val="008D59AA"/>
    <w:rsid w:val="008D6987"/>
    <w:rsid w:val="008D7710"/>
    <w:rsid w:val="008E01F7"/>
    <w:rsid w:val="008E075A"/>
    <w:rsid w:val="008E0A7B"/>
    <w:rsid w:val="008E18D1"/>
    <w:rsid w:val="008E1B6F"/>
    <w:rsid w:val="008E1CD5"/>
    <w:rsid w:val="008E244E"/>
    <w:rsid w:val="008E2AD8"/>
    <w:rsid w:val="008E44C8"/>
    <w:rsid w:val="008E57F5"/>
    <w:rsid w:val="008E58AC"/>
    <w:rsid w:val="008E5FFF"/>
    <w:rsid w:val="008E7287"/>
    <w:rsid w:val="008E73EE"/>
    <w:rsid w:val="008F0F6A"/>
    <w:rsid w:val="008F2D03"/>
    <w:rsid w:val="008F4058"/>
    <w:rsid w:val="008F598A"/>
    <w:rsid w:val="008F6663"/>
    <w:rsid w:val="008F68D0"/>
    <w:rsid w:val="008F6F18"/>
    <w:rsid w:val="008F78D6"/>
    <w:rsid w:val="009005CD"/>
    <w:rsid w:val="00900BDC"/>
    <w:rsid w:val="00901033"/>
    <w:rsid w:val="009017A1"/>
    <w:rsid w:val="009027BA"/>
    <w:rsid w:val="00902BB0"/>
    <w:rsid w:val="00902C85"/>
    <w:rsid w:val="00902FD2"/>
    <w:rsid w:val="0090340B"/>
    <w:rsid w:val="00903CDF"/>
    <w:rsid w:val="00906046"/>
    <w:rsid w:val="00907248"/>
    <w:rsid w:val="00912C65"/>
    <w:rsid w:val="009138E4"/>
    <w:rsid w:val="00913986"/>
    <w:rsid w:val="0091408A"/>
    <w:rsid w:val="009141B7"/>
    <w:rsid w:val="00915237"/>
    <w:rsid w:val="009156F7"/>
    <w:rsid w:val="0091653E"/>
    <w:rsid w:val="00916775"/>
    <w:rsid w:val="00917922"/>
    <w:rsid w:val="00917954"/>
    <w:rsid w:val="00921BC7"/>
    <w:rsid w:val="00921C17"/>
    <w:rsid w:val="00921F91"/>
    <w:rsid w:val="0092253C"/>
    <w:rsid w:val="00922E92"/>
    <w:rsid w:val="00923108"/>
    <w:rsid w:val="009241D0"/>
    <w:rsid w:val="00924891"/>
    <w:rsid w:val="00925946"/>
    <w:rsid w:val="00926736"/>
    <w:rsid w:val="00926AEA"/>
    <w:rsid w:val="00927081"/>
    <w:rsid w:val="009279EB"/>
    <w:rsid w:val="0093021C"/>
    <w:rsid w:val="00930997"/>
    <w:rsid w:val="00930DD9"/>
    <w:rsid w:val="00931000"/>
    <w:rsid w:val="0093545E"/>
    <w:rsid w:val="00935A5A"/>
    <w:rsid w:val="00935BB3"/>
    <w:rsid w:val="009360EB"/>
    <w:rsid w:val="00936556"/>
    <w:rsid w:val="009365FF"/>
    <w:rsid w:val="00936FF6"/>
    <w:rsid w:val="00937A21"/>
    <w:rsid w:val="00941B87"/>
    <w:rsid w:val="00942743"/>
    <w:rsid w:val="00942B12"/>
    <w:rsid w:val="0094392D"/>
    <w:rsid w:val="00943A18"/>
    <w:rsid w:val="0094414A"/>
    <w:rsid w:val="00945B12"/>
    <w:rsid w:val="00945BD2"/>
    <w:rsid w:val="0094610F"/>
    <w:rsid w:val="00946B16"/>
    <w:rsid w:val="00946BE9"/>
    <w:rsid w:val="00947BF0"/>
    <w:rsid w:val="00950515"/>
    <w:rsid w:val="009511FB"/>
    <w:rsid w:val="00951E33"/>
    <w:rsid w:val="009520C2"/>
    <w:rsid w:val="0095224F"/>
    <w:rsid w:val="00952661"/>
    <w:rsid w:val="0095323E"/>
    <w:rsid w:val="009546CE"/>
    <w:rsid w:val="0095486F"/>
    <w:rsid w:val="009550F7"/>
    <w:rsid w:val="00957804"/>
    <w:rsid w:val="00957FB9"/>
    <w:rsid w:val="00960270"/>
    <w:rsid w:val="00960309"/>
    <w:rsid w:val="00960815"/>
    <w:rsid w:val="00960AF2"/>
    <w:rsid w:val="00961ED3"/>
    <w:rsid w:val="00962632"/>
    <w:rsid w:val="00963C29"/>
    <w:rsid w:val="00963EDB"/>
    <w:rsid w:val="009642E9"/>
    <w:rsid w:val="0096465E"/>
    <w:rsid w:val="00965A17"/>
    <w:rsid w:val="00965B3A"/>
    <w:rsid w:val="009665EA"/>
    <w:rsid w:val="0096720E"/>
    <w:rsid w:val="009673AC"/>
    <w:rsid w:val="00967A8E"/>
    <w:rsid w:val="009705B8"/>
    <w:rsid w:val="00970857"/>
    <w:rsid w:val="0097164A"/>
    <w:rsid w:val="00972168"/>
    <w:rsid w:val="009728D4"/>
    <w:rsid w:val="00972A1E"/>
    <w:rsid w:val="00972B69"/>
    <w:rsid w:val="00972D8C"/>
    <w:rsid w:val="009744C6"/>
    <w:rsid w:val="00974E0C"/>
    <w:rsid w:val="00977105"/>
    <w:rsid w:val="00977973"/>
    <w:rsid w:val="00980A94"/>
    <w:rsid w:val="0098132F"/>
    <w:rsid w:val="00981F6D"/>
    <w:rsid w:val="00982E08"/>
    <w:rsid w:val="00983B6E"/>
    <w:rsid w:val="0098427F"/>
    <w:rsid w:val="0098492B"/>
    <w:rsid w:val="00984ACA"/>
    <w:rsid w:val="00986CE2"/>
    <w:rsid w:val="00986F63"/>
    <w:rsid w:val="0098760B"/>
    <w:rsid w:val="00987A15"/>
    <w:rsid w:val="00987B59"/>
    <w:rsid w:val="00990ADC"/>
    <w:rsid w:val="00991443"/>
    <w:rsid w:val="009916DC"/>
    <w:rsid w:val="0099183D"/>
    <w:rsid w:val="00992736"/>
    <w:rsid w:val="00993979"/>
    <w:rsid w:val="00994AEA"/>
    <w:rsid w:val="00996745"/>
    <w:rsid w:val="009A2947"/>
    <w:rsid w:val="009A2DCA"/>
    <w:rsid w:val="009A462A"/>
    <w:rsid w:val="009A5B60"/>
    <w:rsid w:val="009A608A"/>
    <w:rsid w:val="009A650F"/>
    <w:rsid w:val="009A665F"/>
    <w:rsid w:val="009A6EA6"/>
    <w:rsid w:val="009A72FA"/>
    <w:rsid w:val="009A7719"/>
    <w:rsid w:val="009A7C0C"/>
    <w:rsid w:val="009A7EFD"/>
    <w:rsid w:val="009B34EC"/>
    <w:rsid w:val="009B40DC"/>
    <w:rsid w:val="009B5170"/>
    <w:rsid w:val="009B602E"/>
    <w:rsid w:val="009B6385"/>
    <w:rsid w:val="009B6F03"/>
    <w:rsid w:val="009B7311"/>
    <w:rsid w:val="009B7A7C"/>
    <w:rsid w:val="009C0053"/>
    <w:rsid w:val="009C0CD5"/>
    <w:rsid w:val="009C17C5"/>
    <w:rsid w:val="009C1F50"/>
    <w:rsid w:val="009C256C"/>
    <w:rsid w:val="009C25E1"/>
    <w:rsid w:val="009C685B"/>
    <w:rsid w:val="009C72B1"/>
    <w:rsid w:val="009C72D1"/>
    <w:rsid w:val="009D2B0A"/>
    <w:rsid w:val="009D3841"/>
    <w:rsid w:val="009D418C"/>
    <w:rsid w:val="009D4208"/>
    <w:rsid w:val="009D4896"/>
    <w:rsid w:val="009D4B24"/>
    <w:rsid w:val="009D536B"/>
    <w:rsid w:val="009D5650"/>
    <w:rsid w:val="009D566D"/>
    <w:rsid w:val="009D59B7"/>
    <w:rsid w:val="009D6079"/>
    <w:rsid w:val="009D7460"/>
    <w:rsid w:val="009E0727"/>
    <w:rsid w:val="009E11CC"/>
    <w:rsid w:val="009E1EFF"/>
    <w:rsid w:val="009E1F50"/>
    <w:rsid w:val="009E274F"/>
    <w:rsid w:val="009E47F1"/>
    <w:rsid w:val="009E4F28"/>
    <w:rsid w:val="009E5476"/>
    <w:rsid w:val="009E65A6"/>
    <w:rsid w:val="009E6BD9"/>
    <w:rsid w:val="009E6F5A"/>
    <w:rsid w:val="009E7239"/>
    <w:rsid w:val="009E7CD0"/>
    <w:rsid w:val="009F0CB2"/>
    <w:rsid w:val="009F11AC"/>
    <w:rsid w:val="009F121F"/>
    <w:rsid w:val="009F29B3"/>
    <w:rsid w:val="009F2AA0"/>
    <w:rsid w:val="009F472C"/>
    <w:rsid w:val="009F5BC2"/>
    <w:rsid w:val="009F7A69"/>
    <w:rsid w:val="009F7BCA"/>
    <w:rsid w:val="00A008C2"/>
    <w:rsid w:val="00A02004"/>
    <w:rsid w:val="00A0341D"/>
    <w:rsid w:val="00A04601"/>
    <w:rsid w:val="00A05A3F"/>
    <w:rsid w:val="00A06002"/>
    <w:rsid w:val="00A06F31"/>
    <w:rsid w:val="00A0732E"/>
    <w:rsid w:val="00A07339"/>
    <w:rsid w:val="00A077CF"/>
    <w:rsid w:val="00A07F23"/>
    <w:rsid w:val="00A10119"/>
    <w:rsid w:val="00A10F01"/>
    <w:rsid w:val="00A1131B"/>
    <w:rsid w:val="00A118ED"/>
    <w:rsid w:val="00A1247E"/>
    <w:rsid w:val="00A12C90"/>
    <w:rsid w:val="00A14F0C"/>
    <w:rsid w:val="00A15376"/>
    <w:rsid w:val="00A15570"/>
    <w:rsid w:val="00A155AB"/>
    <w:rsid w:val="00A15898"/>
    <w:rsid w:val="00A15F3F"/>
    <w:rsid w:val="00A1641D"/>
    <w:rsid w:val="00A16486"/>
    <w:rsid w:val="00A16FEC"/>
    <w:rsid w:val="00A208AA"/>
    <w:rsid w:val="00A21497"/>
    <w:rsid w:val="00A2318C"/>
    <w:rsid w:val="00A23662"/>
    <w:rsid w:val="00A24887"/>
    <w:rsid w:val="00A24DFF"/>
    <w:rsid w:val="00A258D9"/>
    <w:rsid w:val="00A27B18"/>
    <w:rsid w:val="00A27D00"/>
    <w:rsid w:val="00A30A9D"/>
    <w:rsid w:val="00A3107F"/>
    <w:rsid w:val="00A31462"/>
    <w:rsid w:val="00A31531"/>
    <w:rsid w:val="00A32394"/>
    <w:rsid w:val="00A32D06"/>
    <w:rsid w:val="00A33FEF"/>
    <w:rsid w:val="00A35279"/>
    <w:rsid w:val="00A366AC"/>
    <w:rsid w:val="00A37387"/>
    <w:rsid w:val="00A37439"/>
    <w:rsid w:val="00A37A9C"/>
    <w:rsid w:val="00A417C0"/>
    <w:rsid w:val="00A418A7"/>
    <w:rsid w:val="00A41EA5"/>
    <w:rsid w:val="00A449D8"/>
    <w:rsid w:val="00A45062"/>
    <w:rsid w:val="00A50969"/>
    <w:rsid w:val="00A50A82"/>
    <w:rsid w:val="00A5122E"/>
    <w:rsid w:val="00A536AC"/>
    <w:rsid w:val="00A546EE"/>
    <w:rsid w:val="00A551D3"/>
    <w:rsid w:val="00A55B08"/>
    <w:rsid w:val="00A56508"/>
    <w:rsid w:val="00A56ABE"/>
    <w:rsid w:val="00A60D44"/>
    <w:rsid w:val="00A6122E"/>
    <w:rsid w:val="00A61731"/>
    <w:rsid w:val="00A621E6"/>
    <w:rsid w:val="00A62B4D"/>
    <w:rsid w:val="00A64250"/>
    <w:rsid w:val="00A64C9C"/>
    <w:rsid w:val="00A6562F"/>
    <w:rsid w:val="00A6572E"/>
    <w:rsid w:val="00A6596B"/>
    <w:rsid w:val="00A705AD"/>
    <w:rsid w:val="00A70B77"/>
    <w:rsid w:val="00A711E3"/>
    <w:rsid w:val="00A71806"/>
    <w:rsid w:val="00A730F7"/>
    <w:rsid w:val="00A73FD7"/>
    <w:rsid w:val="00A74689"/>
    <w:rsid w:val="00A75324"/>
    <w:rsid w:val="00A75722"/>
    <w:rsid w:val="00A7626B"/>
    <w:rsid w:val="00A76275"/>
    <w:rsid w:val="00A77055"/>
    <w:rsid w:val="00A7721C"/>
    <w:rsid w:val="00A80B04"/>
    <w:rsid w:val="00A8343A"/>
    <w:rsid w:val="00A866EA"/>
    <w:rsid w:val="00A86AD2"/>
    <w:rsid w:val="00A86B80"/>
    <w:rsid w:val="00A9241D"/>
    <w:rsid w:val="00A943BE"/>
    <w:rsid w:val="00A945B0"/>
    <w:rsid w:val="00A95D80"/>
    <w:rsid w:val="00A95DE9"/>
    <w:rsid w:val="00A9640E"/>
    <w:rsid w:val="00AA08F6"/>
    <w:rsid w:val="00AA0A03"/>
    <w:rsid w:val="00AA0C2C"/>
    <w:rsid w:val="00AA1233"/>
    <w:rsid w:val="00AA12F8"/>
    <w:rsid w:val="00AA1B82"/>
    <w:rsid w:val="00AA1D91"/>
    <w:rsid w:val="00AA395F"/>
    <w:rsid w:val="00AA4003"/>
    <w:rsid w:val="00AA4C90"/>
    <w:rsid w:val="00AA5493"/>
    <w:rsid w:val="00AA6257"/>
    <w:rsid w:val="00AA661C"/>
    <w:rsid w:val="00AB07CF"/>
    <w:rsid w:val="00AB167D"/>
    <w:rsid w:val="00AB1724"/>
    <w:rsid w:val="00AB1918"/>
    <w:rsid w:val="00AB3D64"/>
    <w:rsid w:val="00AB4801"/>
    <w:rsid w:val="00AB4E8F"/>
    <w:rsid w:val="00AB65DC"/>
    <w:rsid w:val="00AB6BA1"/>
    <w:rsid w:val="00AB6E2D"/>
    <w:rsid w:val="00AB791F"/>
    <w:rsid w:val="00AB7EAB"/>
    <w:rsid w:val="00AC0B64"/>
    <w:rsid w:val="00AC26D5"/>
    <w:rsid w:val="00AC2A3D"/>
    <w:rsid w:val="00AC351D"/>
    <w:rsid w:val="00AC4AA5"/>
    <w:rsid w:val="00AC5A13"/>
    <w:rsid w:val="00AC6B29"/>
    <w:rsid w:val="00AC6BA0"/>
    <w:rsid w:val="00AD00ED"/>
    <w:rsid w:val="00AD1019"/>
    <w:rsid w:val="00AD16BA"/>
    <w:rsid w:val="00AD18E3"/>
    <w:rsid w:val="00AD1A57"/>
    <w:rsid w:val="00AD21BC"/>
    <w:rsid w:val="00AD2724"/>
    <w:rsid w:val="00AD2E4B"/>
    <w:rsid w:val="00AD3326"/>
    <w:rsid w:val="00AD337D"/>
    <w:rsid w:val="00AD33E4"/>
    <w:rsid w:val="00AD3942"/>
    <w:rsid w:val="00AD3986"/>
    <w:rsid w:val="00AD3C82"/>
    <w:rsid w:val="00AD5387"/>
    <w:rsid w:val="00AD6750"/>
    <w:rsid w:val="00AE08DA"/>
    <w:rsid w:val="00AE1112"/>
    <w:rsid w:val="00AE14F0"/>
    <w:rsid w:val="00AE1665"/>
    <w:rsid w:val="00AE2CB1"/>
    <w:rsid w:val="00AE30D1"/>
    <w:rsid w:val="00AE34AA"/>
    <w:rsid w:val="00AE51E5"/>
    <w:rsid w:val="00AE6618"/>
    <w:rsid w:val="00AE70D4"/>
    <w:rsid w:val="00AF0066"/>
    <w:rsid w:val="00AF09AA"/>
    <w:rsid w:val="00AF0DC2"/>
    <w:rsid w:val="00AF23A5"/>
    <w:rsid w:val="00AF3A1D"/>
    <w:rsid w:val="00AF46F9"/>
    <w:rsid w:val="00AF4C02"/>
    <w:rsid w:val="00AF5D19"/>
    <w:rsid w:val="00AF5D9A"/>
    <w:rsid w:val="00AF64E6"/>
    <w:rsid w:val="00AF658E"/>
    <w:rsid w:val="00AF7611"/>
    <w:rsid w:val="00B00210"/>
    <w:rsid w:val="00B00776"/>
    <w:rsid w:val="00B013C0"/>
    <w:rsid w:val="00B0194C"/>
    <w:rsid w:val="00B02648"/>
    <w:rsid w:val="00B02D06"/>
    <w:rsid w:val="00B031D4"/>
    <w:rsid w:val="00B03DE8"/>
    <w:rsid w:val="00B03FBE"/>
    <w:rsid w:val="00B040A4"/>
    <w:rsid w:val="00B04CA7"/>
    <w:rsid w:val="00B055CF"/>
    <w:rsid w:val="00B058A5"/>
    <w:rsid w:val="00B06FAA"/>
    <w:rsid w:val="00B10C33"/>
    <w:rsid w:val="00B118CC"/>
    <w:rsid w:val="00B127E6"/>
    <w:rsid w:val="00B13964"/>
    <w:rsid w:val="00B14ABD"/>
    <w:rsid w:val="00B14B93"/>
    <w:rsid w:val="00B16AE4"/>
    <w:rsid w:val="00B16E8E"/>
    <w:rsid w:val="00B17D49"/>
    <w:rsid w:val="00B202C0"/>
    <w:rsid w:val="00B20B5E"/>
    <w:rsid w:val="00B21409"/>
    <w:rsid w:val="00B22146"/>
    <w:rsid w:val="00B22175"/>
    <w:rsid w:val="00B22691"/>
    <w:rsid w:val="00B23E8A"/>
    <w:rsid w:val="00B24475"/>
    <w:rsid w:val="00B25841"/>
    <w:rsid w:val="00B26C92"/>
    <w:rsid w:val="00B27642"/>
    <w:rsid w:val="00B279C3"/>
    <w:rsid w:val="00B27CA4"/>
    <w:rsid w:val="00B27E23"/>
    <w:rsid w:val="00B304F7"/>
    <w:rsid w:val="00B3289C"/>
    <w:rsid w:val="00B32A12"/>
    <w:rsid w:val="00B32B38"/>
    <w:rsid w:val="00B32D5A"/>
    <w:rsid w:val="00B3306B"/>
    <w:rsid w:val="00B35EA7"/>
    <w:rsid w:val="00B35ECA"/>
    <w:rsid w:val="00B408DB"/>
    <w:rsid w:val="00B40A11"/>
    <w:rsid w:val="00B40BE9"/>
    <w:rsid w:val="00B4153D"/>
    <w:rsid w:val="00B42C2B"/>
    <w:rsid w:val="00B430C6"/>
    <w:rsid w:val="00B435D8"/>
    <w:rsid w:val="00B4445D"/>
    <w:rsid w:val="00B44534"/>
    <w:rsid w:val="00B44DF9"/>
    <w:rsid w:val="00B460CC"/>
    <w:rsid w:val="00B46D03"/>
    <w:rsid w:val="00B4725C"/>
    <w:rsid w:val="00B47B56"/>
    <w:rsid w:val="00B47BC2"/>
    <w:rsid w:val="00B47C7A"/>
    <w:rsid w:val="00B523D2"/>
    <w:rsid w:val="00B52956"/>
    <w:rsid w:val="00B52F74"/>
    <w:rsid w:val="00B546D4"/>
    <w:rsid w:val="00B54719"/>
    <w:rsid w:val="00B54DC1"/>
    <w:rsid w:val="00B55496"/>
    <w:rsid w:val="00B559F5"/>
    <w:rsid w:val="00B57A42"/>
    <w:rsid w:val="00B605C1"/>
    <w:rsid w:val="00B606C9"/>
    <w:rsid w:val="00B60D72"/>
    <w:rsid w:val="00B61300"/>
    <w:rsid w:val="00B616B8"/>
    <w:rsid w:val="00B63911"/>
    <w:rsid w:val="00B640DF"/>
    <w:rsid w:val="00B64894"/>
    <w:rsid w:val="00B65412"/>
    <w:rsid w:val="00B65FBB"/>
    <w:rsid w:val="00B6653A"/>
    <w:rsid w:val="00B668C7"/>
    <w:rsid w:val="00B66F10"/>
    <w:rsid w:val="00B67E64"/>
    <w:rsid w:val="00B70747"/>
    <w:rsid w:val="00B70BDB"/>
    <w:rsid w:val="00B70D6B"/>
    <w:rsid w:val="00B71010"/>
    <w:rsid w:val="00B71830"/>
    <w:rsid w:val="00B72233"/>
    <w:rsid w:val="00B7302D"/>
    <w:rsid w:val="00B733DD"/>
    <w:rsid w:val="00B744A6"/>
    <w:rsid w:val="00B74761"/>
    <w:rsid w:val="00B74A79"/>
    <w:rsid w:val="00B76919"/>
    <w:rsid w:val="00B76F20"/>
    <w:rsid w:val="00B77C50"/>
    <w:rsid w:val="00B806BE"/>
    <w:rsid w:val="00B80D33"/>
    <w:rsid w:val="00B81364"/>
    <w:rsid w:val="00B821B3"/>
    <w:rsid w:val="00B825D0"/>
    <w:rsid w:val="00B8309C"/>
    <w:rsid w:val="00B83339"/>
    <w:rsid w:val="00B833FF"/>
    <w:rsid w:val="00B837B1"/>
    <w:rsid w:val="00B8384E"/>
    <w:rsid w:val="00B84961"/>
    <w:rsid w:val="00B84EAB"/>
    <w:rsid w:val="00B85708"/>
    <w:rsid w:val="00B85A4E"/>
    <w:rsid w:val="00B87D70"/>
    <w:rsid w:val="00B907F2"/>
    <w:rsid w:val="00B90A26"/>
    <w:rsid w:val="00B90E5B"/>
    <w:rsid w:val="00B929E6"/>
    <w:rsid w:val="00B92DB7"/>
    <w:rsid w:val="00B938E6"/>
    <w:rsid w:val="00B93D0B"/>
    <w:rsid w:val="00B93DED"/>
    <w:rsid w:val="00B9424E"/>
    <w:rsid w:val="00B94A95"/>
    <w:rsid w:val="00B95B60"/>
    <w:rsid w:val="00B967E5"/>
    <w:rsid w:val="00B97048"/>
    <w:rsid w:val="00B97E12"/>
    <w:rsid w:val="00B97EBF"/>
    <w:rsid w:val="00BA01A2"/>
    <w:rsid w:val="00BA02B7"/>
    <w:rsid w:val="00BA13DA"/>
    <w:rsid w:val="00BA3953"/>
    <w:rsid w:val="00BA3A60"/>
    <w:rsid w:val="00BA5846"/>
    <w:rsid w:val="00BA5885"/>
    <w:rsid w:val="00BA6A4C"/>
    <w:rsid w:val="00BA7656"/>
    <w:rsid w:val="00BB12D5"/>
    <w:rsid w:val="00BB284D"/>
    <w:rsid w:val="00BB314F"/>
    <w:rsid w:val="00BB3849"/>
    <w:rsid w:val="00BB394E"/>
    <w:rsid w:val="00BB4AE6"/>
    <w:rsid w:val="00BB5577"/>
    <w:rsid w:val="00BB6358"/>
    <w:rsid w:val="00BB7E1D"/>
    <w:rsid w:val="00BB7ECB"/>
    <w:rsid w:val="00BC0A11"/>
    <w:rsid w:val="00BC1532"/>
    <w:rsid w:val="00BC206B"/>
    <w:rsid w:val="00BC23D6"/>
    <w:rsid w:val="00BC24AA"/>
    <w:rsid w:val="00BC2F9A"/>
    <w:rsid w:val="00BC3098"/>
    <w:rsid w:val="00BC3D9E"/>
    <w:rsid w:val="00BC4BA7"/>
    <w:rsid w:val="00BC6143"/>
    <w:rsid w:val="00BC6827"/>
    <w:rsid w:val="00BC6C5B"/>
    <w:rsid w:val="00BD07D1"/>
    <w:rsid w:val="00BD0A9E"/>
    <w:rsid w:val="00BD1D91"/>
    <w:rsid w:val="00BD2143"/>
    <w:rsid w:val="00BD27CE"/>
    <w:rsid w:val="00BD28A0"/>
    <w:rsid w:val="00BD2922"/>
    <w:rsid w:val="00BD406F"/>
    <w:rsid w:val="00BD4240"/>
    <w:rsid w:val="00BD446F"/>
    <w:rsid w:val="00BD4475"/>
    <w:rsid w:val="00BD566B"/>
    <w:rsid w:val="00BD65DA"/>
    <w:rsid w:val="00BD77CC"/>
    <w:rsid w:val="00BE1094"/>
    <w:rsid w:val="00BE1265"/>
    <w:rsid w:val="00BE1B6D"/>
    <w:rsid w:val="00BE2323"/>
    <w:rsid w:val="00BE353D"/>
    <w:rsid w:val="00BE3B7F"/>
    <w:rsid w:val="00BE4842"/>
    <w:rsid w:val="00BE4BCA"/>
    <w:rsid w:val="00BE5148"/>
    <w:rsid w:val="00BE768D"/>
    <w:rsid w:val="00BF0331"/>
    <w:rsid w:val="00BF1E04"/>
    <w:rsid w:val="00BF31EC"/>
    <w:rsid w:val="00BF3D56"/>
    <w:rsid w:val="00BF3FB4"/>
    <w:rsid w:val="00BF41FA"/>
    <w:rsid w:val="00BF48A0"/>
    <w:rsid w:val="00BF48E2"/>
    <w:rsid w:val="00BF4C86"/>
    <w:rsid w:val="00BF4D08"/>
    <w:rsid w:val="00BF6711"/>
    <w:rsid w:val="00BF6DD7"/>
    <w:rsid w:val="00C0010B"/>
    <w:rsid w:val="00C01724"/>
    <w:rsid w:val="00C02089"/>
    <w:rsid w:val="00C020B0"/>
    <w:rsid w:val="00C020F4"/>
    <w:rsid w:val="00C021B2"/>
    <w:rsid w:val="00C02628"/>
    <w:rsid w:val="00C0279A"/>
    <w:rsid w:val="00C02BAA"/>
    <w:rsid w:val="00C03B1D"/>
    <w:rsid w:val="00C040B8"/>
    <w:rsid w:val="00C04552"/>
    <w:rsid w:val="00C04BD7"/>
    <w:rsid w:val="00C04F55"/>
    <w:rsid w:val="00C07520"/>
    <w:rsid w:val="00C07D64"/>
    <w:rsid w:val="00C1017F"/>
    <w:rsid w:val="00C114F7"/>
    <w:rsid w:val="00C11D3E"/>
    <w:rsid w:val="00C1228F"/>
    <w:rsid w:val="00C12811"/>
    <w:rsid w:val="00C13A4A"/>
    <w:rsid w:val="00C14AAE"/>
    <w:rsid w:val="00C15556"/>
    <w:rsid w:val="00C15792"/>
    <w:rsid w:val="00C15BF3"/>
    <w:rsid w:val="00C15E76"/>
    <w:rsid w:val="00C1619A"/>
    <w:rsid w:val="00C16A3B"/>
    <w:rsid w:val="00C16B95"/>
    <w:rsid w:val="00C1731A"/>
    <w:rsid w:val="00C20464"/>
    <w:rsid w:val="00C205D1"/>
    <w:rsid w:val="00C20657"/>
    <w:rsid w:val="00C209C8"/>
    <w:rsid w:val="00C214FC"/>
    <w:rsid w:val="00C2150E"/>
    <w:rsid w:val="00C2171B"/>
    <w:rsid w:val="00C225BB"/>
    <w:rsid w:val="00C22E99"/>
    <w:rsid w:val="00C22F8F"/>
    <w:rsid w:val="00C23029"/>
    <w:rsid w:val="00C237C9"/>
    <w:rsid w:val="00C24496"/>
    <w:rsid w:val="00C244F9"/>
    <w:rsid w:val="00C256B7"/>
    <w:rsid w:val="00C25BE4"/>
    <w:rsid w:val="00C2682F"/>
    <w:rsid w:val="00C269C9"/>
    <w:rsid w:val="00C27524"/>
    <w:rsid w:val="00C27A12"/>
    <w:rsid w:val="00C3025C"/>
    <w:rsid w:val="00C30467"/>
    <w:rsid w:val="00C30C40"/>
    <w:rsid w:val="00C31376"/>
    <w:rsid w:val="00C31AEE"/>
    <w:rsid w:val="00C33C38"/>
    <w:rsid w:val="00C33D64"/>
    <w:rsid w:val="00C34348"/>
    <w:rsid w:val="00C352A8"/>
    <w:rsid w:val="00C353CD"/>
    <w:rsid w:val="00C35BDC"/>
    <w:rsid w:val="00C362AF"/>
    <w:rsid w:val="00C367EA"/>
    <w:rsid w:val="00C400C5"/>
    <w:rsid w:val="00C40AAD"/>
    <w:rsid w:val="00C42F79"/>
    <w:rsid w:val="00C434B7"/>
    <w:rsid w:val="00C434EF"/>
    <w:rsid w:val="00C43D9F"/>
    <w:rsid w:val="00C43E86"/>
    <w:rsid w:val="00C453EF"/>
    <w:rsid w:val="00C4591E"/>
    <w:rsid w:val="00C4637A"/>
    <w:rsid w:val="00C47C3C"/>
    <w:rsid w:val="00C504C0"/>
    <w:rsid w:val="00C50748"/>
    <w:rsid w:val="00C50FB4"/>
    <w:rsid w:val="00C518DC"/>
    <w:rsid w:val="00C51B55"/>
    <w:rsid w:val="00C51BEE"/>
    <w:rsid w:val="00C520D0"/>
    <w:rsid w:val="00C522E6"/>
    <w:rsid w:val="00C525F9"/>
    <w:rsid w:val="00C5260A"/>
    <w:rsid w:val="00C53731"/>
    <w:rsid w:val="00C554EF"/>
    <w:rsid w:val="00C5757D"/>
    <w:rsid w:val="00C600A2"/>
    <w:rsid w:val="00C60797"/>
    <w:rsid w:val="00C608A2"/>
    <w:rsid w:val="00C6189B"/>
    <w:rsid w:val="00C61BE3"/>
    <w:rsid w:val="00C63841"/>
    <w:rsid w:val="00C63A82"/>
    <w:rsid w:val="00C63C31"/>
    <w:rsid w:val="00C65675"/>
    <w:rsid w:val="00C6567F"/>
    <w:rsid w:val="00C65796"/>
    <w:rsid w:val="00C70FB4"/>
    <w:rsid w:val="00C74097"/>
    <w:rsid w:val="00C742CB"/>
    <w:rsid w:val="00C74583"/>
    <w:rsid w:val="00C77894"/>
    <w:rsid w:val="00C80FFF"/>
    <w:rsid w:val="00C81317"/>
    <w:rsid w:val="00C822DB"/>
    <w:rsid w:val="00C82BC6"/>
    <w:rsid w:val="00C837EF"/>
    <w:rsid w:val="00C83881"/>
    <w:rsid w:val="00C84177"/>
    <w:rsid w:val="00C85D3D"/>
    <w:rsid w:val="00C877D6"/>
    <w:rsid w:val="00C87F37"/>
    <w:rsid w:val="00C90E24"/>
    <w:rsid w:val="00C9158E"/>
    <w:rsid w:val="00C91D8A"/>
    <w:rsid w:val="00C92302"/>
    <w:rsid w:val="00C945ED"/>
    <w:rsid w:val="00C948AA"/>
    <w:rsid w:val="00C95722"/>
    <w:rsid w:val="00C95A5F"/>
    <w:rsid w:val="00C95D6E"/>
    <w:rsid w:val="00C95D83"/>
    <w:rsid w:val="00CA1F2C"/>
    <w:rsid w:val="00CA2261"/>
    <w:rsid w:val="00CA3030"/>
    <w:rsid w:val="00CA40AE"/>
    <w:rsid w:val="00CA45CC"/>
    <w:rsid w:val="00CA556A"/>
    <w:rsid w:val="00CA6321"/>
    <w:rsid w:val="00CA6345"/>
    <w:rsid w:val="00CA637F"/>
    <w:rsid w:val="00CA6683"/>
    <w:rsid w:val="00CB0537"/>
    <w:rsid w:val="00CB0AB2"/>
    <w:rsid w:val="00CB0D84"/>
    <w:rsid w:val="00CB1AE5"/>
    <w:rsid w:val="00CB1C26"/>
    <w:rsid w:val="00CB20AC"/>
    <w:rsid w:val="00CB347F"/>
    <w:rsid w:val="00CB349F"/>
    <w:rsid w:val="00CB4319"/>
    <w:rsid w:val="00CB4786"/>
    <w:rsid w:val="00CB5608"/>
    <w:rsid w:val="00CB5CB0"/>
    <w:rsid w:val="00CB7033"/>
    <w:rsid w:val="00CB7636"/>
    <w:rsid w:val="00CB7C87"/>
    <w:rsid w:val="00CB7F0E"/>
    <w:rsid w:val="00CC204E"/>
    <w:rsid w:val="00CC4DD2"/>
    <w:rsid w:val="00CC562C"/>
    <w:rsid w:val="00CC6213"/>
    <w:rsid w:val="00CC6493"/>
    <w:rsid w:val="00CC7BD8"/>
    <w:rsid w:val="00CD0109"/>
    <w:rsid w:val="00CD1DAF"/>
    <w:rsid w:val="00CD2991"/>
    <w:rsid w:val="00CD4B36"/>
    <w:rsid w:val="00CD61D0"/>
    <w:rsid w:val="00CD699C"/>
    <w:rsid w:val="00CD6B1F"/>
    <w:rsid w:val="00CD7129"/>
    <w:rsid w:val="00CD7C3F"/>
    <w:rsid w:val="00CE2347"/>
    <w:rsid w:val="00CE53B1"/>
    <w:rsid w:val="00CE6610"/>
    <w:rsid w:val="00CE6AF4"/>
    <w:rsid w:val="00CF0367"/>
    <w:rsid w:val="00CF0F99"/>
    <w:rsid w:val="00CF1071"/>
    <w:rsid w:val="00CF180B"/>
    <w:rsid w:val="00CF28C2"/>
    <w:rsid w:val="00CF2F84"/>
    <w:rsid w:val="00CF305F"/>
    <w:rsid w:val="00CF43F9"/>
    <w:rsid w:val="00CF5CDF"/>
    <w:rsid w:val="00CF5F31"/>
    <w:rsid w:val="00CF7634"/>
    <w:rsid w:val="00CF7B9E"/>
    <w:rsid w:val="00D00557"/>
    <w:rsid w:val="00D00E36"/>
    <w:rsid w:val="00D01851"/>
    <w:rsid w:val="00D03E6E"/>
    <w:rsid w:val="00D0428B"/>
    <w:rsid w:val="00D04715"/>
    <w:rsid w:val="00D04BB8"/>
    <w:rsid w:val="00D1061D"/>
    <w:rsid w:val="00D10FC3"/>
    <w:rsid w:val="00D1107E"/>
    <w:rsid w:val="00D112F1"/>
    <w:rsid w:val="00D124E6"/>
    <w:rsid w:val="00D14297"/>
    <w:rsid w:val="00D157CE"/>
    <w:rsid w:val="00D15898"/>
    <w:rsid w:val="00D15D56"/>
    <w:rsid w:val="00D15DA1"/>
    <w:rsid w:val="00D1628D"/>
    <w:rsid w:val="00D166C1"/>
    <w:rsid w:val="00D16FFB"/>
    <w:rsid w:val="00D1791E"/>
    <w:rsid w:val="00D2047B"/>
    <w:rsid w:val="00D221D8"/>
    <w:rsid w:val="00D226E6"/>
    <w:rsid w:val="00D227AD"/>
    <w:rsid w:val="00D23200"/>
    <w:rsid w:val="00D2330A"/>
    <w:rsid w:val="00D2467C"/>
    <w:rsid w:val="00D246CB"/>
    <w:rsid w:val="00D25864"/>
    <w:rsid w:val="00D25944"/>
    <w:rsid w:val="00D300C1"/>
    <w:rsid w:val="00D310BA"/>
    <w:rsid w:val="00D318EC"/>
    <w:rsid w:val="00D32483"/>
    <w:rsid w:val="00D340E5"/>
    <w:rsid w:val="00D34A12"/>
    <w:rsid w:val="00D35B94"/>
    <w:rsid w:val="00D363B9"/>
    <w:rsid w:val="00D3794A"/>
    <w:rsid w:val="00D37B95"/>
    <w:rsid w:val="00D40052"/>
    <w:rsid w:val="00D4055D"/>
    <w:rsid w:val="00D4228E"/>
    <w:rsid w:val="00D42828"/>
    <w:rsid w:val="00D42CD0"/>
    <w:rsid w:val="00D42E0C"/>
    <w:rsid w:val="00D432C4"/>
    <w:rsid w:val="00D44DA5"/>
    <w:rsid w:val="00D45C3D"/>
    <w:rsid w:val="00D46205"/>
    <w:rsid w:val="00D47F3A"/>
    <w:rsid w:val="00D50471"/>
    <w:rsid w:val="00D516A5"/>
    <w:rsid w:val="00D53664"/>
    <w:rsid w:val="00D53871"/>
    <w:rsid w:val="00D56DEC"/>
    <w:rsid w:val="00D56F1F"/>
    <w:rsid w:val="00D573CE"/>
    <w:rsid w:val="00D57BFC"/>
    <w:rsid w:val="00D6149C"/>
    <w:rsid w:val="00D6158B"/>
    <w:rsid w:val="00D6182C"/>
    <w:rsid w:val="00D61E9D"/>
    <w:rsid w:val="00D62228"/>
    <w:rsid w:val="00D62457"/>
    <w:rsid w:val="00D63668"/>
    <w:rsid w:val="00D63917"/>
    <w:rsid w:val="00D63D22"/>
    <w:rsid w:val="00D64D4A"/>
    <w:rsid w:val="00D6520E"/>
    <w:rsid w:val="00D65273"/>
    <w:rsid w:val="00D654C0"/>
    <w:rsid w:val="00D65D2B"/>
    <w:rsid w:val="00D66283"/>
    <w:rsid w:val="00D66D3B"/>
    <w:rsid w:val="00D67E5D"/>
    <w:rsid w:val="00D67FB8"/>
    <w:rsid w:val="00D7200C"/>
    <w:rsid w:val="00D7387A"/>
    <w:rsid w:val="00D7475D"/>
    <w:rsid w:val="00D74A03"/>
    <w:rsid w:val="00D754E0"/>
    <w:rsid w:val="00D75F41"/>
    <w:rsid w:val="00D76790"/>
    <w:rsid w:val="00D76D10"/>
    <w:rsid w:val="00D7713B"/>
    <w:rsid w:val="00D7750B"/>
    <w:rsid w:val="00D77DDA"/>
    <w:rsid w:val="00D77F3F"/>
    <w:rsid w:val="00D803CC"/>
    <w:rsid w:val="00D80779"/>
    <w:rsid w:val="00D80E5B"/>
    <w:rsid w:val="00D80E7E"/>
    <w:rsid w:val="00D81891"/>
    <w:rsid w:val="00D819E9"/>
    <w:rsid w:val="00D83534"/>
    <w:rsid w:val="00D841C2"/>
    <w:rsid w:val="00D85B15"/>
    <w:rsid w:val="00D85B31"/>
    <w:rsid w:val="00D863E1"/>
    <w:rsid w:val="00D90295"/>
    <w:rsid w:val="00D919EC"/>
    <w:rsid w:val="00D91E06"/>
    <w:rsid w:val="00D921D9"/>
    <w:rsid w:val="00D92DCD"/>
    <w:rsid w:val="00D93600"/>
    <w:rsid w:val="00D93B20"/>
    <w:rsid w:val="00D93F94"/>
    <w:rsid w:val="00D94C2F"/>
    <w:rsid w:val="00D9534C"/>
    <w:rsid w:val="00D95E74"/>
    <w:rsid w:val="00DA047E"/>
    <w:rsid w:val="00DA1664"/>
    <w:rsid w:val="00DA1BE4"/>
    <w:rsid w:val="00DA1C48"/>
    <w:rsid w:val="00DA1C8F"/>
    <w:rsid w:val="00DA425D"/>
    <w:rsid w:val="00DA503E"/>
    <w:rsid w:val="00DA58E4"/>
    <w:rsid w:val="00DA6D42"/>
    <w:rsid w:val="00DB0A44"/>
    <w:rsid w:val="00DB1FF7"/>
    <w:rsid w:val="00DB2008"/>
    <w:rsid w:val="00DB256C"/>
    <w:rsid w:val="00DB3466"/>
    <w:rsid w:val="00DB371A"/>
    <w:rsid w:val="00DB3D7B"/>
    <w:rsid w:val="00DB3F28"/>
    <w:rsid w:val="00DB541C"/>
    <w:rsid w:val="00DB66BC"/>
    <w:rsid w:val="00DB7535"/>
    <w:rsid w:val="00DB7FBC"/>
    <w:rsid w:val="00DC0785"/>
    <w:rsid w:val="00DC0879"/>
    <w:rsid w:val="00DC0D2C"/>
    <w:rsid w:val="00DC1539"/>
    <w:rsid w:val="00DC1663"/>
    <w:rsid w:val="00DC169E"/>
    <w:rsid w:val="00DC1E90"/>
    <w:rsid w:val="00DC2DBA"/>
    <w:rsid w:val="00DC324A"/>
    <w:rsid w:val="00DC39AB"/>
    <w:rsid w:val="00DC40D6"/>
    <w:rsid w:val="00DC502D"/>
    <w:rsid w:val="00DC67DB"/>
    <w:rsid w:val="00DC6C44"/>
    <w:rsid w:val="00DC73A2"/>
    <w:rsid w:val="00DC7412"/>
    <w:rsid w:val="00DC7BBD"/>
    <w:rsid w:val="00DD0AA2"/>
    <w:rsid w:val="00DD15CF"/>
    <w:rsid w:val="00DD1A31"/>
    <w:rsid w:val="00DD4277"/>
    <w:rsid w:val="00DD4284"/>
    <w:rsid w:val="00DD42D4"/>
    <w:rsid w:val="00DD4E01"/>
    <w:rsid w:val="00DD5348"/>
    <w:rsid w:val="00DD5E95"/>
    <w:rsid w:val="00DD6917"/>
    <w:rsid w:val="00DD72C2"/>
    <w:rsid w:val="00DD75E7"/>
    <w:rsid w:val="00DE1843"/>
    <w:rsid w:val="00DE1C99"/>
    <w:rsid w:val="00DE21A9"/>
    <w:rsid w:val="00DE2B7B"/>
    <w:rsid w:val="00DE5675"/>
    <w:rsid w:val="00DE57D7"/>
    <w:rsid w:val="00DE6755"/>
    <w:rsid w:val="00DE6C7A"/>
    <w:rsid w:val="00DE7412"/>
    <w:rsid w:val="00DE7A1C"/>
    <w:rsid w:val="00DE7EA5"/>
    <w:rsid w:val="00DF077C"/>
    <w:rsid w:val="00DF0F68"/>
    <w:rsid w:val="00DF256B"/>
    <w:rsid w:val="00DF5C3B"/>
    <w:rsid w:val="00DF5E58"/>
    <w:rsid w:val="00DF5F13"/>
    <w:rsid w:val="00DF7862"/>
    <w:rsid w:val="00E011B6"/>
    <w:rsid w:val="00E01E4B"/>
    <w:rsid w:val="00E0309B"/>
    <w:rsid w:val="00E036FD"/>
    <w:rsid w:val="00E03D00"/>
    <w:rsid w:val="00E03FF1"/>
    <w:rsid w:val="00E04000"/>
    <w:rsid w:val="00E0403A"/>
    <w:rsid w:val="00E04553"/>
    <w:rsid w:val="00E05666"/>
    <w:rsid w:val="00E06CEF"/>
    <w:rsid w:val="00E07BA6"/>
    <w:rsid w:val="00E10159"/>
    <w:rsid w:val="00E10487"/>
    <w:rsid w:val="00E10856"/>
    <w:rsid w:val="00E10A1F"/>
    <w:rsid w:val="00E10A67"/>
    <w:rsid w:val="00E126C4"/>
    <w:rsid w:val="00E13681"/>
    <w:rsid w:val="00E1405A"/>
    <w:rsid w:val="00E1407D"/>
    <w:rsid w:val="00E15B91"/>
    <w:rsid w:val="00E16781"/>
    <w:rsid w:val="00E17903"/>
    <w:rsid w:val="00E200A6"/>
    <w:rsid w:val="00E201AD"/>
    <w:rsid w:val="00E212C2"/>
    <w:rsid w:val="00E21AC1"/>
    <w:rsid w:val="00E222D0"/>
    <w:rsid w:val="00E2231E"/>
    <w:rsid w:val="00E2481B"/>
    <w:rsid w:val="00E250EC"/>
    <w:rsid w:val="00E26495"/>
    <w:rsid w:val="00E27EEE"/>
    <w:rsid w:val="00E3051C"/>
    <w:rsid w:val="00E31438"/>
    <w:rsid w:val="00E31B69"/>
    <w:rsid w:val="00E32647"/>
    <w:rsid w:val="00E32E4E"/>
    <w:rsid w:val="00E33044"/>
    <w:rsid w:val="00E34287"/>
    <w:rsid w:val="00E34FFC"/>
    <w:rsid w:val="00E350D7"/>
    <w:rsid w:val="00E35DEB"/>
    <w:rsid w:val="00E36B80"/>
    <w:rsid w:val="00E376EA"/>
    <w:rsid w:val="00E376FD"/>
    <w:rsid w:val="00E37749"/>
    <w:rsid w:val="00E37EAF"/>
    <w:rsid w:val="00E37F1A"/>
    <w:rsid w:val="00E43251"/>
    <w:rsid w:val="00E43EA2"/>
    <w:rsid w:val="00E43F22"/>
    <w:rsid w:val="00E4481C"/>
    <w:rsid w:val="00E44BD0"/>
    <w:rsid w:val="00E44CDC"/>
    <w:rsid w:val="00E451CA"/>
    <w:rsid w:val="00E45E49"/>
    <w:rsid w:val="00E465D1"/>
    <w:rsid w:val="00E46A70"/>
    <w:rsid w:val="00E50A41"/>
    <w:rsid w:val="00E517FF"/>
    <w:rsid w:val="00E51CC7"/>
    <w:rsid w:val="00E52667"/>
    <w:rsid w:val="00E53B16"/>
    <w:rsid w:val="00E545F1"/>
    <w:rsid w:val="00E54697"/>
    <w:rsid w:val="00E54916"/>
    <w:rsid w:val="00E56245"/>
    <w:rsid w:val="00E562DE"/>
    <w:rsid w:val="00E56C5D"/>
    <w:rsid w:val="00E56C62"/>
    <w:rsid w:val="00E57534"/>
    <w:rsid w:val="00E578BD"/>
    <w:rsid w:val="00E57B50"/>
    <w:rsid w:val="00E60049"/>
    <w:rsid w:val="00E6059E"/>
    <w:rsid w:val="00E60700"/>
    <w:rsid w:val="00E60AE6"/>
    <w:rsid w:val="00E61B55"/>
    <w:rsid w:val="00E61EA1"/>
    <w:rsid w:val="00E622BB"/>
    <w:rsid w:val="00E62351"/>
    <w:rsid w:val="00E62B49"/>
    <w:rsid w:val="00E6415F"/>
    <w:rsid w:val="00E642BB"/>
    <w:rsid w:val="00E6461F"/>
    <w:rsid w:val="00E65B41"/>
    <w:rsid w:val="00E66889"/>
    <w:rsid w:val="00E668CF"/>
    <w:rsid w:val="00E671C9"/>
    <w:rsid w:val="00E676E6"/>
    <w:rsid w:val="00E7078B"/>
    <w:rsid w:val="00E70F7C"/>
    <w:rsid w:val="00E71D7E"/>
    <w:rsid w:val="00E72DEC"/>
    <w:rsid w:val="00E737CE"/>
    <w:rsid w:val="00E7434E"/>
    <w:rsid w:val="00E74BD1"/>
    <w:rsid w:val="00E750B7"/>
    <w:rsid w:val="00E76545"/>
    <w:rsid w:val="00E7657C"/>
    <w:rsid w:val="00E76975"/>
    <w:rsid w:val="00E7698E"/>
    <w:rsid w:val="00E772CE"/>
    <w:rsid w:val="00E80084"/>
    <w:rsid w:val="00E8020E"/>
    <w:rsid w:val="00E80766"/>
    <w:rsid w:val="00E81100"/>
    <w:rsid w:val="00E82F3C"/>
    <w:rsid w:val="00E84465"/>
    <w:rsid w:val="00E84675"/>
    <w:rsid w:val="00E846C0"/>
    <w:rsid w:val="00E84721"/>
    <w:rsid w:val="00E848F4"/>
    <w:rsid w:val="00E84E52"/>
    <w:rsid w:val="00E85185"/>
    <w:rsid w:val="00E85556"/>
    <w:rsid w:val="00E864DF"/>
    <w:rsid w:val="00E86AD9"/>
    <w:rsid w:val="00E90915"/>
    <w:rsid w:val="00E90FE0"/>
    <w:rsid w:val="00E91385"/>
    <w:rsid w:val="00E91669"/>
    <w:rsid w:val="00E92CE2"/>
    <w:rsid w:val="00E93B7E"/>
    <w:rsid w:val="00E93F00"/>
    <w:rsid w:val="00E959BF"/>
    <w:rsid w:val="00E9671C"/>
    <w:rsid w:val="00E96D8E"/>
    <w:rsid w:val="00EA00B2"/>
    <w:rsid w:val="00EA04B4"/>
    <w:rsid w:val="00EA06EC"/>
    <w:rsid w:val="00EA1205"/>
    <w:rsid w:val="00EA1294"/>
    <w:rsid w:val="00EA1B7F"/>
    <w:rsid w:val="00EA2A72"/>
    <w:rsid w:val="00EA2AE4"/>
    <w:rsid w:val="00EA3514"/>
    <w:rsid w:val="00EA5041"/>
    <w:rsid w:val="00EA61FA"/>
    <w:rsid w:val="00EA702A"/>
    <w:rsid w:val="00EA7374"/>
    <w:rsid w:val="00EB09C8"/>
    <w:rsid w:val="00EB18A7"/>
    <w:rsid w:val="00EB1AF2"/>
    <w:rsid w:val="00EB3BA2"/>
    <w:rsid w:val="00EB3C3D"/>
    <w:rsid w:val="00EB4428"/>
    <w:rsid w:val="00EB4786"/>
    <w:rsid w:val="00EB5230"/>
    <w:rsid w:val="00EB564B"/>
    <w:rsid w:val="00EB5DA1"/>
    <w:rsid w:val="00EB6B06"/>
    <w:rsid w:val="00EB6E92"/>
    <w:rsid w:val="00EC0771"/>
    <w:rsid w:val="00EC1197"/>
    <w:rsid w:val="00EC2898"/>
    <w:rsid w:val="00EC367E"/>
    <w:rsid w:val="00EC4DB9"/>
    <w:rsid w:val="00EC5524"/>
    <w:rsid w:val="00EC5A42"/>
    <w:rsid w:val="00EC66AC"/>
    <w:rsid w:val="00EC6F5D"/>
    <w:rsid w:val="00ED162C"/>
    <w:rsid w:val="00ED175F"/>
    <w:rsid w:val="00ED1C08"/>
    <w:rsid w:val="00ED1C31"/>
    <w:rsid w:val="00ED1ED4"/>
    <w:rsid w:val="00ED2149"/>
    <w:rsid w:val="00ED298E"/>
    <w:rsid w:val="00ED3D38"/>
    <w:rsid w:val="00ED502A"/>
    <w:rsid w:val="00ED5778"/>
    <w:rsid w:val="00ED7049"/>
    <w:rsid w:val="00ED7527"/>
    <w:rsid w:val="00ED78A3"/>
    <w:rsid w:val="00EE2436"/>
    <w:rsid w:val="00EE2463"/>
    <w:rsid w:val="00EE2D3A"/>
    <w:rsid w:val="00EE34B5"/>
    <w:rsid w:val="00EE3FCA"/>
    <w:rsid w:val="00EE5386"/>
    <w:rsid w:val="00EE5A10"/>
    <w:rsid w:val="00EE68C3"/>
    <w:rsid w:val="00EF059D"/>
    <w:rsid w:val="00EF21DF"/>
    <w:rsid w:val="00EF4BA1"/>
    <w:rsid w:val="00EF618F"/>
    <w:rsid w:val="00EF6EF7"/>
    <w:rsid w:val="00EF732D"/>
    <w:rsid w:val="00F00BA7"/>
    <w:rsid w:val="00F00F84"/>
    <w:rsid w:val="00F02708"/>
    <w:rsid w:val="00F029CF"/>
    <w:rsid w:val="00F02D71"/>
    <w:rsid w:val="00F02E25"/>
    <w:rsid w:val="00F033A6"/>
    <w:rsid w:val="00F055F7"/>
    <w:rsid w:val="00F0612C"/>
    <w:rsid w:val="00F07C0A"/>
    <w:rsid w:val="00F11966"/>
    <w:rsid w:val="00F120CE"/>
    <w:rsid w:val="00F121D9"/>
    <w:rsid w:val="00F1239D"/>
    <w:rsid w:val="00F143A0"/>
    <w:rsid w:val="00F14479"/>
    <w:rsid w:val="00F147D7"/>
    <w:rsid w:val="00F155AC"/>
    <w:rsid w:val="00F1770F"/>
    <w:rsid w:val="00F17E57"/>
    <w:rsid w:val="00F20DA8"/>
    <w:rsid w:val="00F21955"/>
    <w:rsid w:val="00F239A6"/>
    <w:rsid w:val="00F23A62"/>
    <w:rsid w:val="00F23DC2"/>
    <w:rsid w:val="00F25466"/>
    <w:rsid w:val="00F25D02"/>
    <w:rsid w:val="00F264E7"/>
    <w:rsid w:val="00F27622"/>
    <w:rsid w:val="00F2787E"/>
    <w:rsid w:val="00F27E86"/>
    <w:rsid w:val="00F303DC"/>
    <w:rsid w:val="00F308E1"/>
    <w:rsid w:val="00F3098F"/>
    <w:rsid w:val="00F30A36"/>
    <w:rsid w:val="00F3145C"/>
    <w:rsid w:val="00F31D01"/>
    <w:rsid w:val="00F32171"/>
    <w:rsid w:val="00F3325E"/>
    <w:rsid w:val="00F3364C"/>
    <w:rsid w:val="00F3513B"/>
    <w:rsid w:val="00F35B99"/>
    <w:rsid w:val="00F363D8"/>
    <w:rsid w:val="00F36CE7"/>
    <w:rsid w:val="00F36EAD"/>
    <w:rsid w:val="00F36EDF"/>
    <w:rsid w:val="00F37183"/>
    <w:rsid w:val="00F37694"/>
    <w:rsid w:val="00F37D59"/>
    <w:rsid w:val="00F37ED6"/>
    <w:rsid w:val="00F40469"/>
    <w:rsid w:val="00F40CEE"/>
    <w:rsid w:val="00F40D81"/>
    <w:rsid w:val="00F40E7A"/>
    <w:rsid w:val="00F4321B"/>
    <w:rsid w:val="00F43AB4"/>
    <w:rsid w:val="00F451B1"/>
    <w:rsid w:val="00F451BA"/>
    <w:rsid w:val="00F4567D"/>
    <w:rsid w:val="00F46EB0"/>
    <w:rsid w:val="00F47E65"/>
    <w:rsid w:val="00F503B8"/>
    <w:rsid w:val="00F5257F"/>
    <w:rsid w:val="00F52AE1"/>
    <w:rsid w:val="00F538F9"/>
    <w:rsid w:val="00F54A3D"/>
    <w:rsid w:val="00F54E83"/>
    <w:rsid w:val="00F552CC"/>
    <w:rsid w:val="00F553CE"/>
    <w:rsid w:val="00F5563F"/>
    <w:rsid w:val="00F56883"/>
    <w:rsid w:val="00F56CC6"/>
    <w:rsid w:val="00F57E86"/>
    <w:rsid w:val="00F6366B"/>
    <w:rsid w:val="00F646F9"/>
    <w:rsid w:val="00F655F2"/>
    <w:rsid w:val="00F6715D"/>
    <w:rsid w:val="00F6795B"/>
    <w:rsid w:val="00F700A9"/>
    <w:rsid w:val="00F70AE7"/>
    <w:rsid w:val="00F71E68"/>
    <w:rsid w:val="00F720F6"/>
    <w:rsid w:val="00F7363D"/>
    <w:rsid w:val="00F73B1C"/>
    <w:rsid w:val="00F73CDE"/>
    <w:rsid w:val="00F75E7A"/>
    <w:rsid w:val="00F76C65"/>
    <w:rsid w:val="00F77425"/>
    <w:rsid w:val="00F80428"/>
    <w:rsid w:val="00F80848"/>
    <w:rsid w:val="00F80B7D"/>
    <w:rsid w:val="00F8257B"/>
    <w:rsid w:val="00F83F7E"/>
    <w:rsid w:val="00F84B66"/>
    <w:rsid w:val="00F86B20"/>
    <w:rsid w:val="00F87C9D"/>
    <w:rsid w:val="00F90EEF"/>
    <w:rsid w:val="00F918F5"/>
    <w:rsid w:val="00F9247F"/>
    <w:rsid w:val="00F92ED7"/>
    <w:rsid w:val="00F9382D"/>
    <w:rsid w:val="00F942C1"/>
    <w:rsid w:val="00F9728A"/>
    <w:rsid w:val="00F97841"/>
    <w:rsid w:val="00F97DB7"/>
    <w:rsid w:val="00FA054D"/>
    <w:rsid w:val="00FA1629"/>
    <w:rsid w:val="00FA2527"/>
    <w:rsid w:val="00FA2D34"/>
    <w:rsid w:val="00FA3418"/>
    <w:rsid w:val="00FA399F"/>
    <w:rsid w:val="00FA3E46"/>
    <w:rsid w:val="00FA4AAF"/>
    <w:rsid w:val="00FA4DA5"/>
    <w:rsid w:val="00FA7296"/>
    <w:rsid w:val="00FA7E93"/>
    <w:rsid w:val="00FA7ED7"/>
    <w:rsid w:val="00FB0501"/>
    <w:rsid w:val="00FB2752"/>
    <w:rsid w:val="00FB27EA"/>
    <w:rsid w:val="00FB315E"/>
    <w:rsid w:val="00FB452A"/>
    <w:rsid w:val="00FB4AA5"/>
    <w:rsid w:val="00FB4F47"/>
    <w:rsid w:val="00FB5A9F"/>
    <w:rsid w:val="00FB5C89"/>
    <w:rsid w:val="00FB6BC8"/>
    <w:rsid w:val="00FB6E06"/>
    <w:rsid w:val="00FB6FF9"/>
    <w:rsid w:val="00FB7148"/>
    <w:rsid w:val="00FB7387"/>
    <w:rsid w:val="00FB79E2"/>
    <w:rsid w:val="00FC017C"/>
    <w:rsid w:val="00FC10FF"/>
    <w:rsid w:val="00FC18B9"/>
    <w:rsid w:val="00FC2325"/>
    <w:rsid w:val="00FC3E3B"/>
    <w:rsid w:val="00FC5CD3"/>
    <w:rsid w:val="00FC6B61"/>
    <w:rsid w:val="00FC6F54"/>
    <w:rsid w:val="00FC6F7D"/>
    <w:rsid w:val="00FD0333"/>
    <w:rsid w:val="00FD0F02"/>
    <w:rsid w:val="00FD14AE"/>
    <w:rsid w:val="00FD1F1B"/>
    <w:rsid w:val="00FD2116"/>
    <w:rsid w:val="00FD3BDC"/>
    <w:rsid w:val="00FD4CB7"/>
    <w:rsid w:val="00FD5364"/>
    <w:rsid w:val="00FD6149"/>
    <w:rsid w:val="00FD7127"/>
    <w:rsid w:val="00FE0043"/>
    <w:rsid w:val="00FE00CE"/>
    <w:rsid w:val="00FE0724"/>
    <w:rsid w:val="00FE0E12"/>
    <w:rsid w:val="00FE15C6"/>
    <w:rsid w:val="00FE2DFE"/>
    <w:rsid w:val="00FE3ADB"/>
    <w:rsid w:val="00FE40F4"/>
    <w:rsid w:val="00FE4A4C"/>
    <w:rsid w:val="00FE650E"/>
    <w:rsid w:val="00FF0C1A"/>
    <w:rsid w:val="00FF2AF9"/>
    <w:rsid w:val="00FF31E5"/>
    <w:rsid w:val="00FF344B"/>
    <w:rsid w:val="00FF4226"/>
    <w:rsid w:val="00FF4D0F"/>
    <w:rsid w:val="00FF4E35"/>
    <w:rsid w:val="00FF6C30"/>
    <w:rsid w:val="00FF7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4F8AFE4"/>
  <w14:defaultImageDpi w14:val="0"/>
  <w15:docId w15:val="{6D7AA081-C055-4049-994B-6318D32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C6"/>
    <w:pPr>
      <w:widowControl w:val="0"/>
      <w:autoSpaceDE w:val="0"/>
      <w:autoSpaceDN w:val="0"/>
      <w:adjustRightInd w:val="0"/>
    </w:pPr>
    <w:rPr>
      <w:lang w:eastAsia="ru-RU"/>
    </w:rPr>
  </w:style>
  <w:style w:type="paragraph" w:styleId="4">
    <w:name w:val="heading 4"/>
    <w:basedOn w:val="a"/>
    <w:link w:val="40"/>
    <w:uiPriority w:val="9"/>
    <w:qFormat/>
    <w:locked/>
    <w:rsid w:val="003B6712"/>
    <w:pPr>
      <w:widowControl/>
      <w:autoSpaceDE/>
      <w:autoSpaceDN/>
      <w:adjustRightInd/>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AC6"/>
    <w:pPr>
      <w:tabs>
        <w:tab w:val="center" w:pos="4677"/>
        <w:tab w:val="right" w:pos="9355"/>
      </w:tabs>
    </w:pPr>
    <w:rPr>
      <w:lang w:eastAsia="uk-UA"/>
    </w:rPr>
  </w:style>
  <w:style w:type="character" w:customStyle="1" w:styleId="a4">
    <w:name w:val="Верхній колонтитул Знак"/>
    <w:basedOn w:val="a0"/>
    <w:link w:val="a3"/>
    <w:uiPriority w:val="99"/>
    <w:locked/>
    <w:rPr>
      <w:rFonts w:cs="Times New Roman"/>
      <w:sz w:val="20"/>
      <w:lang w:val="uk-UA" w:eastAsia="x-none"/>
    </w:rPr>
  </w:style>
  <w:style w:type="character" w:styleId="a5">
    <w:name w:val="page number"/>
    <w:basedOn w:val="a0"/>
    <w:uiPriority w:val="99"/>
    <w:rsid w:val="00793AC6"/>
    <w:rPr>
      <w:rFonts w:cs="Times New Roman"/>
    </w:rPr>
  </w:style>
  <w:style w:type="paragraph" w:styleId="a6">
    <w:name w:val="Balloon Text"/>
    <w:basedOn w:val="a"/>
    <w:link w:val="a7"/>
    <w:uiPriority w:val="99"/>
    <w:semiHidden/>
    <w:rsid w:val="002925F0"/>
    <w:rPr>
      <w:rFonts w:ascii="Tahoma" w:hAnsi="Tahoma"/>
      <w:sz w:val="16"/>
      <w:szCs w:val="16"/>
      <w:lang w:eastAsia="uk-UA"/>
    </w:rPr>
  </w:style>
  <w:style w:type="character" w:customStyle="1" w:styleId="a7">
    <w:name w:val="Текст у виносці Знак"/>
    <w:basedOn w:val="a0"/>
    <w:link w:val="a6"/>
    <w:uiPriority w:val="99"/>
    <w:semiHidden/>
    <w:locked/>
    <w:rPr>
      <w:rFonts w:ascii="Tahoma" w:hAnsi="Tahoma" w:cs="Times New Roman"/>
      <w:sz w:val="16"/>
      <w:lang w:val="uk-UA" w:eastAsia="x-none"/>
    </w:rPr>
  </w:style>
  <w:style w:type="paragraph" w:styleId="a8">
    <w:name w:val="footer"/>
    <w:basedOn w:val="a"/>
    <w:link w:val="a9"/>
    <w:uiPriority w:val="99"/>
    <w:rsid w:val="00EB4428"/>
    <w:pPr>
      <w:tabs>
        <w:tab w:val="center" w:pos="4819"/>
        <w:tab w:val="right" w:pos="9639"/>
      </w:tabs>
    </w:pPr>
    <w:rPr>
      <w:lang w:eastAsia="uk-UA"/>
    </w:rPr>
  </w:style>
  <w:style w:type="character" w:customStyle="1" w:styleId="a9">
    <w:name w:val="Нижній колонтитул Знак"/>
    <w:basedOn w:val="a0"/>
    <w:link w:val="a8"/>
    <w:uiPriority w:val="99"/>
    <w:locked/>
    <w:rPr>
      <w:rFonts w:cs="Times New Roman"/>
      <w:sz w:val="20"/>
      <w:lang w:val="uk-UA" w:eastAsia="x-none"/>
    </w:rPr>
  </w:style>
  <w:style w:type="character" w:customStyle="1" w:styleId="just14">
    <w:name w:val="just 14 Знак"/>
    <w:link w:val="just140"/>
    <w:locked/>
    <w:rsid w:val="007C7040"/>
    <w:rPr>
      <w:sz w:val="28"/>
      <w:shd w:val="clear" w:color="auto" w:fill="FFFFFF"/>
      <w:lang w:val="uk-UA" w:eastAsia="zh-CN"/>
    </w:rPr>
  </w:style>
  <w:style w:type="table" w:styleId="aa">
    <w:name w:val="Table Grid"/>
    <w:basedOn w:val="a1"/>
    <w:uiPriority w:val="39"/>
    <w:rsid w:val="002E1090"/>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rsid w:val="007E1421"/>
    <w:pPr>
      <w:widowControl/>
      <w:autoSpaceDE/>
      <w:autoSpaceDN/>
      <w:adjustRightInd/>
      <w:spacing w:before="100" w:beforeAutospacing="1" w:after="100" w:afterAutospacing="1"/>
    </w:pPr>
    <w:rPr>
      <w:sz w:val="24"/>
      <w:szCs w:val="24"/>
      <w:lang w:eastAsia="uk-UA"/>
    </w:rPr>
  </w:style>
  <w:style w:type="paragraph" w:customStyle="1" w:styleId="just140">
    <w:name w:val="just 14"/>
    <w:basedOn w:val="a"/>
    <w:link w:val="just14"/>
    <w:qFormat/>
    <w:rsid w:val="007C7040"/>
    <w:pPr>
      <w:shd w:val="clear" w:color="auto" w:fill="FFFFFF"/>
      <w:autoSpaceDE/>
      <w:autoSpaceDN/>
      <w:adjustRightInd/>
      <w:jc w:val="both"/>
    </w:pPr>
    <w:rPr>
      <w:sz w:val="28"/>
      <w:shd w:val="clear" w:color="auto" w:fill="FFFFFF"/>
      <w:lang w:eastAsia="zh-CN"/>
    </w:rPr>
  </w:style>
  <w:style w:type="character" w:customStyle="1" w:styleId="just6">
    <w:name w:val="just 6 Знак"/>
    <w:link w:val="just60"/>
    <w:locked/>
    <w:rsid w:val="007C7040"/>
    <w:rPr>
      <w:sz w:val="28"/>
      <w:shd w:val="clear" w:color="auto" w:fill="FFFFFF"/>
      <w:lang w:val="uk-UA" w:eastAsia="zh-CN"/>
    </w:rPr>
  </w:style>
  <w:style w:type="paragraph" w:customStyle="1" w:styleId="just60">
    <w:name w:val="just 6"/>
    <w:basedOn w:val="just140"/>
    <w:link w:val="just6"/>
    <w:qFormat/>
    <w:rsid w:val="007C7040"/>
  </w:style>
  <w:style w:type="paragraph" w:styleId="ad">
    <w:name w:val="List Paragraph"/>
    <w:basedOn w:val="a"/>
    <w:link w:val="ae"/>
    <w:uiPriority w:val="34"/>
    <w:qFormat/>
    <w:rsid w:val="004419A9"/>
    <w:pPr>
      <w:ind w:left="708"/>
    </w:pPr>
  </w:style>
  <w:style w:type="character" w:customStyle="1" w:styleId="af">
    <w:name w:val="Основной текст_"/>
    <w:link w:val="1"/>
    <w:locked/>
    <w:rsid w:val="0098760B"/>
    <w:rPr>
      <w:sz w:val="27"/>
      <w:shd w:val="clear" w:color="auto" w:fill="FFFFFF"/>
    </w:rPr>
  </w:style>
  <w:style w:type="character" w:customStyle="1" w:styleId="10">
    <w:name w:val="Заголовок №1_"/>
    <w:link w:val="11"/>
    <w:locked/>
    <w:rsid w:val="0098760B"/>
    <w:rPr>
      <w:spacing w:val="10"/>
      <w:sz w:val="30"/>
      <w:shd w:val="clear" w:color="auto" w:fill="FFFFFF"/>
    </w:rPr>
  </w:style>
  <w:style w:type="paragraph" w:customStyle="1" w:styleId="1">
    <w:name w:val="Основной текст1"/>
    <w:basedOn w:val="a"/>
    <w:link w:val="af"/>
    <w:rsid w:val="0098760B"/>
    <w:pPr>
      <w:widowControl/>
      <w:shd w:val="clear" w:color="auto" w:fill="FFFFFF"/>
      <w:autoSpaceDE/>
      <w:autoSpaceDN/>
      <w:adjustRightInd/>
      <w:spacing w:line="240" w:lineRule="atLeast"/>
    </w:pPr>
    <w:rPr>
      <w:sz w:val="27"/>
      <w:szCs w:val="27"/>
      <w:lang w:val="ru-RU" w:eastAsia="uk-UA"/>
    </w:rPr>
  </w:style>
  <w:style w:type="paragraph" w:customStyle="1" w:styleId="11">
    <w:name w:val="Заголовок №1"/>
    <w:basedOn w:val="a"/>
    <w:link w:val="10"/>
    <w:rsid w:val="0098760B"/>
    <w:pPr>
      <w:widowControl/>
      <w:shd w:val="clear" w:color="auto" w:fill="FFFFFF"/>
      <w:autoSpaceDE/>
      <w:autoSpaceDN/>
      <w:adjustRightInd/>
      <w:spacing w:after="60" w:line="240" w:lineRule="atLeast"/>
      <w:outlineLvl w:val="0"/>
    </w:pPr>
    <w:rPr>
      <w:spacing w:val="10"/>
      <w:sz w:val="30"/>
      <w:szCs w:val="30"/>
      <w:lang w:val="ru-RU" w:eastAsia="uk-UA"/>
    </w:rPr>
  </w:style>
  <w:style w:type="paragraph" w:styleId="af0">
    <w:name w:val="Body Text Indent"/>
    <w:basedOn w:val="a"/>
    <w:link w:val="af1"/>
    <w:uiPriority w:val="99"/>
    <w:semiHidden/>
    <w:unhideWhenUsed/>
    <w:rsid w:val="003A1965"/>
    <w:pPr>
      <w:widowControl/>
      <w:autoSpaceDE/>
      <w:autoSpaceDN/>
      <w:adjustRightInd/>
      <w:spacing w:after="120"/>
      <w:ind w:left="283"/>
    </w:pPr>
    <w:rPr>
      <w:sz w:val="24"/>
      <w:szCs w:val="24"/>
      <w:lang w:val="ru-RU"/>
    </w:rPr>
  </w:style>
  <w:style w:type="character" w:customStyle="1" w:styleId="af1">
    <w:name w:val="Основний текст з відступом Знак"/>
    <w:basedOn w:val="a0"/>
    <w:link w:val="af0"/>
    <w:uiPriority w:val="99"/>
    <w:semiHidden/>
    <w:locked/>
    <w:rsid w:val="003A1965"/>
    <w:rPr>
      <w:rFonts w:cs="Times New Roman"/>
      <w:sz w:val="24"/>
      <w:szCs w:val="24"/>
      <w:lang w:val="ru-RU"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3"/>
    <w:uiPriority w:val="99"/>
    <w:qFormat/>
    <w:rsid w:val="00CF7634"/>
  </w:style>
  <w:style w:type="character" w:customStyle="1" w:styleId="af3">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2"/>
    <w:uiPriority w:val="99"/>
    <w:qFormat/>
    <w:rsid w:val="00CF7634"/>
    <w:rPr>
      <w:lang w:eastAsia="ru-RU"/>
    </w:rPr>
  </w:style>
  <w:style w:type="character" w:styleId="af4">
    <w:name w:val="footnote reference"/>
    <w:basedOn w:val="a0"/>
    <w:uiPriority w:val="99"/>
    <w:rsid w:val="00CF7634"/>
    <w:rPr>
      <w:vertAlign w:val="superscript"/>
    </w:rPr>
  </w:style>
  <w:style w:type="character" w:customStyle="1" w:styleId="14">
    <w:name w:val="Текст у виносці Знак14"/>
    <w:basedOn w:val="a0"/>
    <w:uiPriority w:val="99"/>
    <w:semiHidden/>
    <w:rsid w:val="00BC23D6"/>
    <w:rPr>
      <w:rFonts w:ascii="Segoe UI" w:hAnsi="Segoe UI" w:cs="Segoe UI"/>
      <w:sz w:val="18"/>
      <w:szCs w:val="18"/>
    </w:rPr>
  </w:style>
  <w:style w:type="paragraph" w:customStyle="1" w:styleId="Default">
    <w:name w:val="Default"/>
    <w:rsid w:val="009F472C"/>
    <w:pPr>
      <w:suppressAutoHyphens/>
      <w:autoSpaceDE w:val="0"/>
    </w:pPr>
    <w:rPr>
      <w:rFonts w:eastAsia="Calibri"/>
      <w:color w:val="000000"/>
      <w:sz w:val="24"/>
      <w:szCs w:val="24"/>
      <w:lang w:eastAsia="zh-CN"/>
    </w:rPr>
  </w:style>
  <w:style w:type="character" w:customStyle="1" w:styleId="ae">
    <w:name w:val="Абзац списку Знак"/>
    <w:link w:val="ad"/>
    <w:uiPriority w:val="34"/>
    <w:locked/>
    <w:rsid w:val="00D34A12"/>
    <w:rPr>
      <w:lang w:eastAsia="ru-RU"/>
    </w:rPr>
  </w:style>
  <w:style w:type="table" w:customStyle="1" w:styleId="3">
    <w:name w:val="Сетка таблицы3"/>
    <w:basedOn w:val="a1"/>
    <w:next w:val="aa"/>
    <w:uiPriority w:val="59"/>
    <w:rsid w:val="0029051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C1017F"/>
    <w:rPr>
      <w:sz w:val="16"/>
      <w:szCs w:val="16"/>
    </w:rPr>
  </w:style>
  <w:style w:type="paragraph" w:styleId="af6">
    <w:name w:val="annotation text"/>
    <w:basedOn w:val="a"/>
    <w:link w:val="af7"/>
    <w:uiPriority w:val="99"/>
    <w:semiHidden/>
    <w:unhideWhenUsed/>
    <w:rsid w:val="00C1017F"/>
  </w:style>
  <w:style w:type="character" w:customStyle="1" w:styleId="af7">
    <w:name w:val="Текст примітки Знак"/>
    <w:basedOn w:val="a0"/>
    <w:link w:val="af6"/>
    <w:uiPriority w:val="99"/>
    <w:semiHidden/>
    <w:rsid w:val="00C1017F"/>
    <w:rPr>
      <w:lang w:eastAsia="ru-RU"/>
    </w:rPr>
  </w:style>
  <w:style w:type="paragraph" w:styleId="af8">
    <w:name w:val="annotation subject"/>
    <w:basedOn w:val="af6"/>
    <w:next w:val="af6"/>
    <w:link w:val="af9"/>
    <w:uiPriority w:val="99"/>
    <w:semiHidden/>
    <w:unhideWhenUsed/>
    <w:rsid w:val="00C1017F"/>
    <w:rPr>
      <w:b/>
      <w:bCs/>
    </w:rPr>
  </w:style>
  <w:style w:type="character" w:customStyle="1" w:styleId="af9">
    <w:name w:val="Тема примітки Знак"/>
    <w:basedOn w:val="af7"/>
    <w:link w:val="af8"/>
    <w:uiPriority w:val="99"/>
    <w:semiHidden/>
    <w:rsid w:val="00C1017F"/>
    <w:rPr>
      <w:b/>
      <w:bCs/>
      <w:lang w:eastAsia="ru-RU"/>
    </w:rPr>
  </w:style>
  <w:style w:type="paragraph" w:styleId="afa">
    <w:name w:val="Revision"/>
    <w:hidden/>
    <w:uiPriority w:val="99"/>
    <w:semiHidden/>
    <w:rsid w:val="00046AE7"/>
    <w:rPr>
      <w:lang w:eastAsia="ru-RU"/>
    </w:rPr>
  </w:style>
  <w:style w:type="character" w:customStyle="1" w:styleId="40">
    <w:name w:val="Заголовок 4 Знак"/>
    <w:basedOn w:val="a0"/>
    <w:link w:val="4"/>
    <w:uiPriority w:val="9"/>
    <w:rsid w:val="003B6712"/>
    <w:rPr>
      <w:b/>
      <w:bCs/>
      <w:sz w:val="24"/>
      <w:szCs w:val="24"/>
    </w:rPr>
  </w:style>
  <w:style w:type="character" w:styleId="afb">
    <w:name w:val="Emphasis"/>
    <w:basedOn w:val="a0"/>
    <w:uiPriority w:val="20"/>
    <w:qFormat/>
    <w:locked/>
    <w:rsid w:val="003B6712"/>
    <w:rPr>
      <w:i/>
      <w:iCs/>
    </w:rPr>
  </w:style>
  <w:style w:type="character" w:styleId="afc">
    <w:name w:val="Strong"/>
    <w:basedOn w:val="a0"/>
    <w:uiPriority w:val="22"/>
    <w:qFormat/>
    <w:locked/>
    <w:rsid w:val="003B6712"/>
    <w:rPr>
      <w:b/>
      <w:bCs/>
    </w:rPr>
  </w:style>
  <w:style w:type="character" w:customStyle="1" w:styleId="ac">
    <w:name w:val="Звичайний (веб) Знак"/>
    <w:link w:val="ab"/>
    <w:uiPriority w:val="99"/>
    <w:locked/>
    <w:rsid w:val="00356CCF"/>
    <w:rPr>
      <w:sz w:val="24"/>
      <w:szCs w:val="24"/>
    </w:rPr>
  </w:style>
  <w:style w:type="table" w:customStyle="1" w:styleId="12">
    <w:name w:val="Сітка таблиці1"/>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a"/>
    <w:uiPriority w:val="39"/>
    <w:rsid w:val="00356CC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017">
      <w:bodyDiv w:val="1"/>
      <w:marLeft w:val="0"/>
      <w:marRight w:val="0"/>
      <w:marTop w:val="0"/>
      <w:marBottom w:val="0"/>
      <w:divBdr>
        <w:top w:val="none" w:sz="0" w:space="0" w:color="auto"/>
        <w:left w:val="none" w:sz="0" w:space="0" w:color="auto"/>
        <w:bottom w:val="none" w:sz="0" w:space="0" w:color="auto"/>
        <w:right w:val="none" w:sz="0" w:space="0" w:color="auto"/>
      </w:divBdr>
    </w:div>
    <w:div w:id="705368413">
      <w:bodyDiv w:val="1"/>
      <w:marLeft w:val="0"/>
      <w:marRight w:val="0"/>
      <w:marTop w:val="0"/>
      <w:marBottom w:val="0"/>
      <w:divBdr>
        <w:top w:val="none" w:sz="0" w:space="0" w:color="auto"/>
        <w:left w:val="none" w:sz="0" w:space="0" w:color="auto"/>
        <w:bottom w:val="none" w:sz="0" w:space="0" w:color="auto"/>
        <w:right w:val="none" w:sz="0" w:space="0" w:color="auto"/>
      </w:divBdr>
    </w:div>
    <w:div w:id="1048189629">
      <w:bodyDiv w:val="1"/>
      <w:marLeft w:val="0"/>
      <w:marRight w:val="0"/>
      <w:marTop w:val="0"/>
      <w:marBottom w:val="0"/>
      <w:divBdr>
        <w:top w:val="none" w:sz="0" w:space="0" w:color="auto"/>
        <w:left w:val="none" w:sz="0" w:space="0" w:color="auto"/>
        <w:bottom w:val="none" w:sz="0" w:space="0" w:color="auto"/>
        <w:right w:val="none" w:sz="0" w:space="0" w:color="auto"/>
      </w:divBdr>
    </w:div>
    <w:div w:id="1208951172">
      <w:marLeft w:val="0"/>
      <w:marRight w:val="0"/>
      <w:marTop w:val="0"/>
      <w:marBottom w:val="0"/>
      <w:divBdr>
        <w:top w:val="none" w:sz="0" w:space="0" w:color="auto"/>
        <w:left w:val="none" w:sz="0" w:space="0" w:color="auto"/>
        <w:bottom w:val="none" w:sz="0" w:space="0" w:color="auto"/>
        <w:right w:val="none" w:sz="0" w:space="0" w:color="auto"/>
      </w:divBdr>
      <w:divsChild>
        <w:div w:id="1208951171">
          <w:marLeft w:val="994"/>
          <w:marRight w:val="0"/>
          <w:marTop w:val="0"/>
          <w:marBottom w:val="120"/>
          <w:divBdr>
            <w:top w:val="none" w:sz="0" w:space="0" w:color="auto"/>
            <w:left w:val="none" w:sz="0" w:space="0" w:color="auto"/>
            <w:bottom w:val="none" w:sz="0" w:space="0" w:color="auto"/>
            <w:right w:val="none" w:sz="0" w:space="0" w:color="auto"/>
          </w:divBdr>
        </w:div>
      </w:divsChild>
    </w:div>
    <w:div w:id="1208951173">
      <w:marLeft w:val="0"/>
      <w:marRight w:val="0"/>
      <w:marTop w:val="0"/>
      <w:marBottom w:val="0"/>
      <w:divBdr>
        <w:top w:val="none" w:sz="0" w:space="0" w:color="auto"/>
        <w:left w:val="none" w:sz="0" w:space="0" w:color="auto"/>
        <w:bottom w:val="none" w:sz="0" w:space="0" w:color="auto"/>
        <w:right w:val="none" w:sz="0" w:space="0" w:color="auto"/>
      </w:divBdr>
    </w:div>
    <w:div w:id="1208951174">
      <w:marLeft w:val="0"/>
      <w:marRight w:val="0"/>
      <w:marTop w:val="0"/>
      <w:marBottom w:val="0"/>
      <w:divBdr>
        <w:top w:val="none" w:sz="0" w:space="0" w:color="auto"/>
        <w:left w:val="none" w:sz="0" w:space="0" w:color="auto"/>
        <w:bottom w:val="none" w:sz="0" w:space="0" w:color="auto"/>
        <w:right w:val="none" w:sz="0" w:space="0" w:color="auto"/>
      </w:divBdr>
    </w:div>
    <w:div w:id="1208951175">
      <w:marLeft w:val="0"/>
      <w:marRight w:val="0"/>
      <w:marTop w:val="0"/>
      <w:marBottom w:val="0"/>
      <w:divBdr>
        <w:top w:val="none" w:sz="0" w:space="0" w:color="auto"/>
        <w:left w:val="none" w:sz="0" w:space="0" w:color="auto"/>
        <w:bottom w:val="none" w:sz="0" w:space="0" w:color="auto"/>
        <w:right w:val="none" w:sz="0" w:space="0" w:color="auto"/>
      </w:divBdr>
    </w:div>
    <w:div w:id="1208951177">
      <w:marLeft w:val="0"/>
      <w:marRight w:val="0"/>
      <w:marTop w:val="0"/>
      <w:marBottom w:val="0"/>
      <w:divBdr>
        <w:top w:val="none" w:sz="0" w:space="0" w:color="auto"/>
        <w:left w:val="none" w:sz="0" w:space="0" w:color="auto"/>
        <w:bottom w:val="none" w:sz="0" w:space="0" w:color="auto"/>
        <w:right w:val="none" w:sz="0" w:space="0" w:color="auto"/>
      </w:divBdr>
      <w:divsChild>
        <w:div w:id="1208951176">
          <w:marLeft w:val="274"/>
          <w:marRight w:val="0"/>
          <w:marTop w:val="0"/>
          <w:marBottom w:val="60"/>
          <w:divBdr>
            <w:top w:val="none" w:sz="0" w:space="0" w:color="auto"/>
            <w:left w:val="none" w:sz="0" w:space="0" w:color="auto"/>
            <w:bottom w:val="none" w:sz="0" w:space="0" w:color="auto"/>
            <w:right w:val="none" w:sz="0" w:space="0" w:color="auto"/>
          </w:divBdr>
        </w:div>
      </w:divsChild>
    </w:div>
    <w:div w:id="1208951178">
      <w:marLeft w:val="0"/>
      <w:marRight w:val="0"/>
      <w:marTop w:val="0"/>
      <w:marBottom w:val="0"/>
      <w:divBdr>
        <w:top w:val="none" w:sz="0" w:space="0" w:color="auto"/>
        <w:left w:val="none" w:sz="0" w:space="0" w:color="auto"/>
        <w:bottom w:val="none" w:sz="0" w:space="0" w:color="auto"/>
        <w:right w:val="none" w:sz="0" w:space="0" w:color="auto"/>
      </w:divBdr>
    </w:div>
    <w:div w:id="18589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4D60-37E0-42EE-8C4F-61C1B36F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3513</Words>
  <Characters>30243</Characters>
  <Application>Microsoft Office Word</Application>
  <DocSecurity>0</DocSecurity>
  <Lines>252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Постанова</vt:lpstr>
      <vt:lpstr>Постанова</vt:lpstr>
    </vt:vector>
  </TitlesOfParts>
  <Company>nbu</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Постанова</dc:title>
  <dc:creator>Galina</dc:creator>
  <cp:lastModifiedBy>Пісоцька Оксана Миколаївна</cp:lastModifiedBy>
  <cp:revision>15</cp:revision>
  <cp:lastPrinted>2024-01-30T16:23:00Z</cp:lastPrinted>
  <dcterms:created xsi:type="dcterms:W3CDTF">2024-03-21T12:49:00Z</dcterms:created>
  <dcterms:modified xsi:type="dcterms:W3CDTF">2024-07-11T08:06:00Z</dcterms:modified>
</cp:coreProperties>
</file>